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DC4" w:rsidRDefault="00876DC4" w:rsidP="00BC517C">
      <w:pPr>
        <w:pStyle w:val="Header"/>
        <w:ind w:left="-142"/>
        <w:rPr>
          <w:rFonts w:ascii="Century Gothic" w:hAnsi="Century Gothic" w:cs="Arial"/>
          <w:b/>
          <w:color w:val="000080"/>
          <w:u w:val="single"/>
        </w:rPr>
      </w:pPr>
      <w:r w:rsidRPr="00E42448">
        <w:rPr>
          <w:rFonts w:ascii="Century Gothic" w:hAnsi="Century Gothic" w:cs="Arial"/>
          <w:b/>
          <w:color w:val="000080"/>
          <w:u w:val="single"/>
        </w:rPr>
        <w:t>PROGRAMMA DIDATTICO</w:t>
      </w:r>
    </w:p>
    <w:p w:rsidR="00876DC4" w:rsidRDefault="00876DC4" w:rsidP="00BC517C">
      <w:pPr>
        <w:pStyle w:val="Header"/>
        <w:rPr>
          <w:rFonts w:ascii="Century Gothic" w:hAnsi="Century Gothic" w:cs="Arial"/>
          <w:b/>
          <w:color w:val="000080"/>
          <w:u w:val="single"/>
        </w:rPr>
      </w:pPr>
    </w:p>
    <w:p w:rsidR="00876DC4" w:rsidRPr="00E42448" w:rsidRDefault="00876DC4" w:rsidP="00BC517C">
      <w:pPr>
        <w:pStyle w:val="Header"/>
        <w:rPr>
          <w:rFonts w:ascii="Century Gothic" w:hAnsi="Century Gothic" w:cs="Arial"/>
          <w:b/>
          <w:color w:val="000080"/>
          <w:u w:val="single"/>
        </w:rPr>
      </w:pPr>
    </w:p>
    <w:tbl>
      <w:tblPr>
        <w:tblW w:w="100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</w:tblBorders>
        <w:tblLook w:val="01E0"/>
      </w:tblPr>
      <w:tblGrid>
        <w:gridCol w:w="5388"/>
        <w:gridCol w:w="4689"/>
      </w:tblGrid>
      <w:tr w:rsidR="00876DC4" w:rsidRPr="00E42448" w:rsidTr="00770158">
        <w:trPr>
          <w:trHeight w:hRule="exact" w:val="450"/>
        </w:trPr>
        <w:tc>
          <w:tcPr>
            <w:tcW w:w="10077" w:type="dxa"/>
            <w:gridSpan w:val="2"/>
            <w:vAlign w:val="center"/>
          </w:tcPr>
          <w:p w:rsidR="00876DC4" w:rsidRPr="00E42448" w:rsidRDefault="00876DC4" w:rsidP="00BC517C">
            <w:pPr>
              <w:pStyle w:val="Header"/>
              <w:rPr>
                <w:rFonts w:ascii="Century Gothic" w:hAnsi="Century Gothic" w:cs="Arial"/>
                <w:color w:val="000080"/>
              </w:rPr>
            </w:pPr>
            <w:r w:rsidRPr="00E42448">
              <w:rPr>
                <w:rFonts w:ascii="Century Gothic" w:hAnsi="Century Gothic" w:cs="Arial"/>
                <w:color w:val="000080"/>
                <w:sz w:val="22"/>
                <w:szCs w:val="22"/>
              </w:rPr>
              <w:t xml:space="preserve">DOCENTE: </w:t>
            </w:r>
            <w:r w:rsidRPr="00BC5929">
              <w:rPr>
                <w:rFonts w:ascii="Century Gothic" w:hAnsi="Century Gothic" w:cs="Arial"/>
                <w:smallCaps/>
                <w:color w:val="0000FF"/>
                <w:sz w:val="20"/>
                <w:szCs w:val="20"/>
              </w:rPr>
              <w:t>Dr</w:t>
            </w:r>
            <w:r w:rsidRPr="00E42448">
              <w:rPr>
                <w:rFonts w:ascii="Century Gothic" w:hAnsi="Century Gothic" w:cs="Arial"/>
                <w:smallCaps/>
                <w:color w:val="0000FF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Arial"/>
                <w:b/>
                <w:smallCaps/>
                <w:color w:val="0000FF"/>
                <w:sz w:val="22"/>
                <w:szCs w:val="22"/>
              </w:rPr>
              <w:t xml:space="preserve">Cristiano </w:t>
            </w:r>
            <w:r w:rsidRPr="00E42448">
              <w:rPr>
                <w:rFonts w:ascii="Century Gothic" w:hAnsi="Century Gothic" w:cs="Arial"/>
                <w:b/>
                <w:smallCaps/>
                <w:color w:val="0000FF"/>
                <w:sz w:val="22"/>
                <w:szCs w:val="22"/>
              </w:rPr>
              <w:t>F</w:t>
            </w:r>
            <w:r>
              <w:rPr>
                <w:rFonts w:ascii="Century Gothic" w:hAnsi="Century Gothic" w:cs="Arial"/>
                <w:b/>
                <w:smallCaps/>
                <w:color w:val="0000FF"/>
                <w:sz w:val="22"/>
                <w:szCs w:val="22"/>
              </w:rPr>
              <w:t>ava</w:t>
            </w:r>
          </w:p>
        </w:tc>
      </w:tr>
      <w:tr w:rsidR="00876DC4" w:rsidRPr="00E42448" w:rsidTr="00770158">
        <w:trPr>
          <w:trHeight w:hRule="exact" w:val="443"/>
        </w:trPr>
        <w:tc>
          <w:tcPr>
            <w:tcW w:w="10077" w:type="dxa"/>
            <w:gridSpan w:val="2"/>
            <w:vAlign w:val="center"/>
          </w:tcPr>
          <w:p w:rsidR="00876DC4" w:rsidRPr="00E42448" w:rsidRDefault="00876DC4" w:rsidP="00770158">
            <w:pPr>
              <w:pStyle w:val="Header"/>
              <w:rPr>
                <w:rFonts w:ascii="Century Gothic" w:hAnsi="Century Gothic" w:cs="Arial"/>
                <w:color w:val="000080"/>
              </w:rPr>
            </w:pPr>
            <w:r w:rsidRPr="00770158">
              <w:rPr>
                <w:rFonts w:ascii="Century Gothic" w:hAnsi="Century Gothic" w:cs="Arial"/>
                <w:color w:val="000080"/>
                <w:szCs w:val="22"/>
              </w:rPr>
              <w:t>Insegnamento:</w:t>
            </w:r>
            <w:r>
              <w:rPr>
                <w:rFonts w:ascii="Century Gothic" w:hAnsi="Century Gothic" w:cs="Arial"/>
                <w:color w:val="000080"/>
                <w:szCs w:val="22"/>
              </w:rPr>
              <w:t xml:space="preserve"> Scienze della Patologia umana</w:t>
            </w:r>
          </w:p>
        </w:tc>
      </w:tr>
      <w:tr w:rsidR="00876DC4" w:rsidRPr="00E42448" w:rsidTr="00770158">
        <w:trPr>
          <w:trHeight w:hRule="exact" w:val="451"/>
        </w:trPr>
        <w:tc>
          <w:tcPr>
            <w:tcW w:w="10077" w:type="dxa"/>
            <w:gridSpan w:val="2"/>
            <w:vAlign w:val="center"/>
          </w:tcPr>
          <w:p w:rsidR="00876DC4" w:rsidRPr="00E42448" w:rsidRDefault="00876DC4" w:rsidP="00770158">
            <w:pPr>
              <w:pStyle w:val="Header"/>
              <w:rPr>
                <w:rFonts w:ascii="Century Gothic" w:hAnsi="Century Gothic" w:cs="Arial"/>
                <w:color w:val="000080"/>
              </w:rPr>
            </w:pPr>
            <w:r w:rsidRPr="00CF1EB2">
              <w:rPr>
                <w:rFonts w:ascii="Century Gothic" w:hAnsi="Century Gothic" w:cs="Arial"/>
                <w:smallCaps/>
                <w:color w:val="000080"/>
                <w:szCs w:val="22"/>
              </w:rPr>
              <w:t>Modulo</w:t>
            </w:r>
            <w:r w:rsidRPr="00770158">
              <w:rPr>
                <w:rFonts w:ascii="Century Gothic" w:hAnsi="Century Gothic" w:cs="Arial"/>
                <w:color w:val="000080"/>
                <w:szCs w:val="22"/>
              </w:rPr>
              <w:t xml:space="preserve">: </w:t>
            </w:r>
            <w:r w:rsidRPr="00770158">
              <w:rPr>
                <w:rFonts w:ascii="Century Gothic" w:hAnsi="Century Gothic" w:cs="Arial"/>
                <w:b/>
                <w:color w:val="0000CC"/>
                <w:szCs w:val="22"/>
              </w:rPr>
              <w:t xml:space="preserve"> </w:t>
            </w:r>
            <w:r w:rsidRPr="00CF1EB2">
              <w:rPr>
                <w:rFonts w:ascii="Century Gothic" w:hAnsi="Century Gothic" w:cs="Arial"/>
                <w:b/>
                <w:smallCaps/>
                <w:color w:val="3333FF"/>
                <w:szCs w:val="22"/>
              </w:rPr>
              <w:t>Fisiopatologia generale</w:t>
            </w:r>
          </w:p>
        </w:tc>
      </w:tr>
      <w:tr w:rsidR="00876DC4" w:rsidRPr="00E42448" w:rsidTr="00BC517C">
        <w:trPr>
          <w:trHeight w:val="431"/>
        </w:trPr>
        <w:tc>
          <w:tcPr>
            <w:tcW w:w="5388" w:type="dxa"/>
            <w:vAlign w:val="center"/>
          </w:tcPr>
          <w:p w:rsidR="00876DC4" w:rsidRPr="00E42448" w:rsidRDefault="00876DC4" w:rsidP="00770158">
            <w:pPr>
              <w:pStyle w:val="Header"/>
              <w:rPr>
                <w:rFonts w:ascii="Century Gothic" w:hAnsi="Century Gothic" w:cs="Arial"/>
                <w:color w:val="000080"/>
              </w:rPr>
            </w:pPr>
            <w:r>
              <w:rPr>
                <w:rFonts w:ascii="Century Gothic" w:hAnsi="Century Gothic" w:cs="Arial"/>
                <w:color w:val="000080"/>
                <w:sz w:val="22"/>
                <w:szCs w:val="22"/>
              </w:rPr>
              <w:t>CFU Insegnamento</w:t>
            </w:r>
            <w:r w:rsidRPr="00E42448">
              <w:rPr>
                <w:rFonts w:ascii="Century Gothic" w:hAnsi="Century Gothic" w:cs="Arial"/>
                <w:color w:val="000080"/>
                <w:sz w:val="22"/>
                <w:szCs w:val="22"/>
              </w:rPr>
              <w:t xml:space="preserve">: </w:t>
            </w:r>
            <w:r w:rsidRPr="00CF1EB2">
              <w:rPr>
                <w:rFonts w:ascii="Century Gothic" w:hAnsi="Century Gothic" w:cs="Arial"/>
                <w:color w:val="000080"/>
                <w:sz w:val="22"/>
                <w:szCs w:val="22"/>
              </w:rPr>
              <w:t>6</w:t>
            </w:r>
          </w:p>
        </w:tc>
        <w:tc>
          <w:tcPr>
            <w:tcW w:w="4689" w:type="dxa"/>
            <w:vAlign w:val="center"/>
          </w:tcPr>
          <w:p w:rsidR="00876DC4" w:rsidRPr="00E42448" w:rsidRDefault="00876DC4" w:rsidP="00770158">
            <w:pPr>
              <w:pStyle w:val="Header"/>
              <w:rPr>
                <w:rFonts w:ascii="Century Gothic" w:hAnsi="Century Gothic" w:cs="Arial"/>
                <w:color w:val="000080"/>
              </w:rPr>
            </w:pPr>
            <w:r w:rsidRPr="00E42448">
              <w:rPr>
                <w:rFonts w:ascii="Century Gothic" w:hAnsi="Century Gothic" w:cs="Arial"/>
                <w:color w:val="000080"/>
                <w:sz w:val="22"/>
                <w:szCs w:val="22"/>
              </w:rPr>
              <w:t xml:space="preserve">CFU </w:t>
            </w:r>
            <w:r w:rsidRPr="00CF1EB2">
              <w:rPr>
                <w:rFonts w:ascii="Century Gothic" w:hAnsi="Century Gothic" w:cs="Arial"/>
                <w:smallCaps/>
                <w:color w:val="000080"/>
                <w:sz w:val="22"/>
                <w:szCs w:val="22"/>
              </w:rPr>
              <w:t>Modulo</w:t>
            </w:r>
            <w:r w:rsidRPr="00E42448">
              <w:rPr>
                <w:rFonts w:ascii="Century Gothic" w:hAnsi="Century Gothic" w:cs="Arial"/>
                <w:color w:val="000080"/>
                <w:sz w:val="22"/>
                <w:szCs w:val="22"/>
              </w:rPr>
              <w:t xml:space="preserve">: </w:t>
            </w:r>
            <w:r>
              <w:rPr>
                <w:rFonts w:ascii="Century Gothic" w:hAnsi="Century Gothic" w:cs="Arial"/>
                <w:color w:val="000080"/>
                <w:szCs w:val="22"/>
              </w:rPr>
              <w:t>2</w:t>
            </w:r>
          </w:p>
        </w:tc>
      </w:tr>
      <w:tr w:rsidR="00876DC4" w:rsidRPr="00E42448" w:rsidTr="00BC517C">
        <w:trPr>
          <w:trHeight w:val="306"/>
        </w:trPr>
        <w:tc>
          <w:tcPr>
            <w:tcW w:w="5388" w:type="dxa"/>
            <w:vAlign w:val="center"/>
          </w:tcPr>
          <w:p w:rsidR="00876DC4" w:rsidRPr="00E42448" w:rsidRDefault="00876DC4" w:rsidP="00770158">
            <w:pPr>
              <w:pStyle w:val="Header"/>
              <w:rPr>
                <w:rFonts w:ascii="Century Gothic" w:hAnsi="Century Gothic" w:cs="Arial"/>
                <w:color w:val="000080"/>
              </w:rPr>
            </w:pPr>
            <w:r w:rsidRPr="00E42448">
              <w:rPr>
                <w:rFonts w:ascii="Century Gothic" w:hAnsi="Century Gothic" w:cs="Arial"/>
                <w:color w:val="000080"/>
                <w:sz w:val="22"/>
                <w:szCs w:val="22"/>
              </w:rPr>
              <w:t>Anno di corso e semestre:</w:t>
            </w:r>
            <w:r>
              <w:rPr>
                <w:rFonts w:ascii="Century Gothic" w:hAnsi="Century Gothic" w:cs="Arial"/>
                <w:color w:val="000080"/>
                <w:sz w:val="22"/>
                <w:szCs w:val="22"/>
              </w:rPr>
              <w:t xml:space="preserve"> </w:t>
            </w:r>
            <w:r w:rsidRPr="00770158">
              <w:rPr>
                <w:rFonts w:ascii="Century Gothic" w:hAnsi="Century Gothic" w:cs="Arial"/>
                <w:b/>
                <w:color w:val="0000FF"/>
                <w:sz w:val="22"/>
                <w:szCs w:val="22"/>
              </w:rPr>
              <w:t>2°</w:t>
            </w:r>
            <w:r w:rsidRPr="00770158">
              <w:rPr>
                <w:rFonts w:ascii="Century Gothic" w:hAnsi="Century Gothic" w:cs="Arial"/>
                <w:b/>
                <w:color w:val="000080"/>
                <w:sz w:val="22"/>
                <w:szCs w:val="22"/>
              </w:rPr>
              <w:t xml:space="preserve"> </w:t>
            </w:r>
            <w:r w:rsidRPr="00770158">
              <w:rPr>
                <w:rFonts w:ascii="Century Gothic" w:hAnsi="Century Gothic" w:cs="Arial"/>
                <w:b/>
                <w:color w:val="0000FF"/>
                <w:sz w:val="22"/>
                <w:szCs w:val="22"/>
              </w:rPr>
              <w:t>anno 1°, semestre</w:t>
            </w:r>
            <w:r w:rsidRPr="00E42448">
              <w:rPr>
                <w:rFonts w:ascii="Century Gothic" w:hAnsi="Century Gothic" w:cs="Arial"/>
                <w:color w:val="0000FF"/>
                <w:sz w:val="22"/>
                <w:szCs w:val="22"/>
              </w:rPr>
              <w:t xml:space="preserve"> 1</w:t>
            </w:r>
            <w:r>
              <w:rPr>
                <w:rFonts w:ascii="Century Gothic" w:hAnsi="Century Gothic" w:cs="Arial"/>
                <w:color w:val="0000FF"/>
                <w:sz w:val="22"/>
                <w:szCs w:val="22"/>
              </w:rPr>
              <w:t xml:space="preserve">   </w:t>
            </w:r>
          </w:p>
        </w:tc>
        <w:tc>
          <w:tcPr>
            <w:tcW w:w="4689" w:type="dxa"/>
            <w:vAlign w:val="center"/>
          </w:tcPr>
          <w:p w:rsidR="00876DC4" w:rsidRPr="00E42448" w:rsidRDefault="00876DC4" w:rsidP="00770158">
            <w:pPr>
              <w:pStyle w:val="Header"/>
              <w:rPr>
                <w:rFonts w:ascii="Century Gothic" w:hAnsi="Century Gothic" w:cs="Arial"/>
                <w:color w:val="000080"/>
              </w:rPr>
            </w:pPr>
            <w:r>
              <w:rPr>
                <w:rFonts w:ascii="Century Gothic" w:hAnsi="Century Gothic" w:cs="Arial"/>
                <w:color w:val="000080"/>
                <w:sz w:val="22"/>
                <w:szCs w:val="22"/>
              </w:rPr>
              <w:t xml:space="preserve">    </w:t>
            </w:r>
            <w:r w:rsidRPr="00E42448">
              <w:rPr>
                <w:rFonts w:ascii="Century Gothic" w:hAnsi="Century Gothic" w:cs="Arial"/>
                <w:color w:val="000080"/>
                <w:sz w:val="22"/>
                <w:szCs w:val="22"/>
              </w:rPr>
              <w:t xml:space="preserve">Equivalenti a ore di lezione frontale:  </w:t>
            </w:r>
            <w:r w:rsidRPr="00770158">
              <w:rPr>
                <w:rFonts w:ascii="Century Gothic" w:hAnsi="Century Gothic" w:cs="Arial"/>
                <w:b/>
                <w:color w:val="0000FF"/>
                <w:sz w:val="22"/>
                <w:szCs w:val="22"/>
              </w:rPr>
              <w:t>2</w:t>
            </w:r>
            <w:r w:rsidRPr="00770158">
              <w:rPr>
                <w:rFonts w:ascii="Century Gothic" w:hAnsi="Century Gothic" w:cs="Arial"/>
                <w:b/>
                <w:color w:val="0000FF"/>
              </w:rPr>
              <w:t>0</w:t>
            </w:r>
          </w:p>
        </w:tc>
      </w:tr>
    </w:tbl>
    <w:p w:rsidR="00876DC4" w:rsidRDefault="00876DC4">
      <w:pPr>
        <w:ind w:right="428"/>
        <w:jc w:val="both"/>
        <w:rPr>
          <w:rFonts w:ascii="Maiandra GD" w:hAnsi="Maiandra GD" w:cs="Arial"/>
          <w:color w:val="000080"/>
          <w:sz w:val="22"/>
          <w:szCs w:val="22"/>
        </w:rPr>
      </w:pPr>
    </w:p>
    <w:p w:rsidR="00876DC4" w:rsidRDefault="00876DC4">
      <w:pPr>
        <w:ind w:right="428"/>
        <w:jc w:val="both"/>
        <w:rPr>
          <w:rFonts w:ascii="Maiandra GD" w:hAnsi="Maiandra GD" w:cs="Arial"/>
          <w:color w:val="000080"/>
          <w:sz w:val="22"/>
          <w:szCs w:val="22"/>
        </w:rPr>
      </w:pPr>
    </w:p>
    <w:p w:rsidR="00876DC4" w:rsidRPr="00770158" w:rsidRDefault="00876DC4">
      <w:pPr>
        <w:ind w:right="428"/>
        <w:jc w:val="both"/>
        <w:rPr>
          <w:rFonts w:ascii="Century Gothic" w:hAnsi="Century Gothic" w:cs="Arial"/>
          <w:color w:val="000080"/>
          <w:sz w:val="22"/>
          <w:szCs w:val="22"/>
        </w:rPr>
      </w:pPr>
      <w:r w:rsidRPr="00770158">
        <w:rPr>
          <w:rFonts w:ascii="Century Gothic" w:hAnsi="Century Gothic" w:cs="Arial"/>
          <w:color w:val="000080"/>
          <w:sz w:val="22"/>
          <w:szCs w:val="22"/>
        </w:rPr>
        <w:t>Obiettivi del corso</w:t>
      </w:r>
      <w:r>
        <w:rPr>
          <w:rFonts w:ascii="Century Gothic" w:hAnsi="Century Gothic" w:cs="Arial"/>
          <w:color w:val="000080"/>
          <w:sz w:val="22"/>
          <w:szCs w:val="22"/>
        </w:rPr>
        <w:t>:</w:t>
      </w:r>
    </w:p>
    <w:tbl>
      <w:tblPr>
        <w:tblW w:w="10112" w:type="dxa"/>
        <w:tblCellMar>
          <w:left w:w="10" w:type="dxa"/>
          <w:right w:w="10" w:type="dxa"/>
        </w:tblCellMar>
        <w:tblLook w:val="00A0"/>
      </w:tblPr>
      <w:tblGrid>
        <w:gridCol w:w="10112"/>
      </w:tblGrid>
      <w:tr w:rsidR="00876DC4" w:rsidRPr="00770158">
        <w:tc>
          <w:tcPr>
            <w:tcW w:w="101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DC4" w:rsidRPr="00770158" w:rsidRDefault="00876DC4">
            <w:pPr>
              <w:jc w:val="both"/>
              <w:rPr>
                <w:rFonts w:ascii="Century Gothic" w:eastAsia="Arial Unicode MS" w:hAnsi="Century Gothic" w:cs="Arial"/>
                <w:color w:val="000080"/>
              </w:rPr>
            </w:pPr>
            <w:r w:rsidRPr="00770158">
              <w:rPr>
                <w:rFonts w:ascii="Century Gothic" w:hAnsi="Century Gothic" w:cs="Arial"/>
                <w:color w:val="000080"/>
                <w:sz w:val="22"/>
                <w:szCs w:val="22"/>
              </w:rPr>
              <w:t xml:space="preserve"> </w:t>
            </w:r>
          </w:p>
          <w:p w:rsidR="00876DC4" w:rsidRPr="00770158" w:rsidRDefault="00876DC4">
            <w:pPr>
              <w:jc w:val="both"/>
              <w:rPr>
                <w:rFonts w:ascii="Century Gothic" w:eastAsia="Arial Unicode MS" w:hAnsi="Century Gothic" w:cs="Arial"/>
                <w:color w:val="000080"/>
              </w:rPr>
            </w:pPr>
            <w:r w:rsidRPr="00770158">
              <w:rPr>
                <w:rFonts w:ascii="Century Gothic" w:eastAsia="Arial Unicode MS" w:hAnsi="Century Gothic" w:cs="Arial"/>
                <w:color w:val="000080"/>
                <w:sz w:val="22"/>
                <w:szCs w:val="22"/>
              </w:rPr>
              <w:t>Conoscere i meccanismi di malattia, e la risposta a questo stato, degli apparati cardiovascolare, renale, polmonare, digerente ed endocrino e del sistema emostatico. Acquisire conoscenze utili alla comprensione delle indagini di laboratorio biomedico.</w:t>
            </w:r>
          </w:p>
          <w:p w:rsidR="00876DC4" w:rsidRPr="00770158" w:rsidRDefault="00876DC4">
            <w:pPr>
              <w:jc w:val="both"/>
              <w:rPr>
                <w:rFonts w:ascii="Century Gothic" w:eastAsia="Arial Unicode MS" w:hAnsi="Century Gothic" w:cs="Arial"/>
                <w:color w:val="000080"/>
              </w:rPr>
            </w:pPr>
          </w:p>
        </w:tc>
      </w:tr>
    </w:tbl>
    <w:p w:rsidR="00876DC4" w:rsidRPr="00770158" w:rsidRDefault="00876DC4">
      <w:pPr>
        <w:rPr>
          <w:rFonts w:ascii="Century Gothic" w:hAnsi="Century Gothic" w:cs="Arial"/>
          <w:color w:val="000080"/>
          <w:sz w:val="22"/>
          <w:szCs w:val="22"/>
        </w:rPr>
      </w:pPr>
    </w:p>
    <w:p w:rsidR="00876DC4" w:rsidRPr="00770158" w:rsidRDefault="00876DC4">
      <w:pPr>
        <w:rPr>
          <w:rFonts w:ascii="Century Gothic" w:hAnsi="Century Gothic" w:cs="Arial"/>
          <w:color w:val="000080"/>
          <w:sz w:val="22"/>
          <w:szCs w:val="22"/>
        </w:rPr>
      </w:pPr>
      <w:r w:rsidRPr="00770158">
        <w:rPr>
          <w:rFonts w:ascii="Century Gothic" w:hAnsi="Century Gothic" w:cs="Arial"/>
          <w:color w:val="000080"/>
          <w:sz w:val="22"/>
          <w:szCs w:val="22"/>
        </w:rPr>
        <w:t>Programma in forma sintetica</w:t>
      </w:r>
      <w:r>
        <w:rPr>
          <w:rFonts w:ascii="Century Gothic" w:hAnsi="Century Gothic" w:cs="Arial"/>
          <w:color w:val="000080"/>
          <w:sz w:val="22"/>
          <w:szCs w:val="22"/>
        </w:rPr>
        <w:t>:</w:t>
      </w:r>
    </w:p>
    <w:tbl>
      <w:tblPr>
        <w:tblW w:w="10112" w:type="dxa"/>
        <w:tblCellMar>
          <w:left w:w="10" w:type="dxa"/>
          <w:right w:w="10" w:type="dxa"/>
        </w:tblCellMar>
        <w:tblLook w:val="00A0"/>
      </w:tblPr>
      <w:tblGrid>
        <w:gridCol w:w="10112"/>
      </w:tblGrid>
      <w:tr w:rsidR="00876DC4" w:rsidRPr="00770158">
        <w:tc>
          <w:tcPr>
            <w:tcW w:w="101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DC4" w:rsidRPr="00770158" w:rsidRDefault="00876DC4">
            <w:pPr>
              <w:jc w:val="both"/>
              <w:rPr>
                <w:rFonts w:ascii="Century Gothic" w:eastAsia="Arial Unicode MS" w:hAnsi="Century Gothic" w:cs="Arial"/>
                <w:color w:val="000080"/>
              </w:rPr>
            </w:pPr>
          </w:p>
          <w:p w:rsidR="00876DC4" w:rsidRPr="00770158" w:rsidRDefault="00876DC4">
            <w:pPr>
              <w:jc w:val="both"/>
              <w:rPr>
                <w:rFonts w:ascii="Century Gothic" w:eastAsia="Arial Unicode MS" w:hAnsi="Century Gothic" w:cs="Arial"/>
                <w:color w:val="000080"/>
              </w:rPr>
            </w:pPr>
            <w:r w:rsidRPr="00770158">
              <w:rPr>
                <w:rFonts w:ascii="Century Gothic" w:eastAsia="Arial Unicode MS" w:hAnsi="Century Gothic" w:cs="Arial"/>
                <w:color w:val="000080"/>
                <w:sz w:val="22"/>
                <w:szCs w:val="22"/>
              </w:rPr>
              <w:t>Elementi di fisiopatologia del rene e dei disordini dell’equilibrio idro-salino. Elementi di fisiopatologia dell’apparato cardiovascolare e respiratorio. I meccanismi dell’emostasi e la malattia aterosclerotica. Elementi di fisiopatologia del sistema ghiandolare endocrino.</w:t>
            </w:r>
          </w:p>
          <w:p w:rsidR="00876DC4" w:rsidRPr="00770158" w:rsidRDefault="00876DC4">
            <w:pPr>
              <w:jc w:val="both"/>
              <w:rPr>
                <w:rFonts w:ascii="Century Gothic" w:eastAsia="Arial Unicode MS" w:hAnsi="Century Gothic" w:cs="Arial"/>
                <w:color w:val="000080"/>
              </w:rPr>
            </w:pPr>
          </w:p>
        </w:tc>
      </w:tr>
    </w:tbl>
    <w:p w:rsidR="00876DC4" w:rsidRPr="00770158" w:rsidRDefault="00876DC4">
      <w:pPr>
        <w:ind w:left="360"/>
        <w:rPr>
          <w:rFonts w:ascii="Century Gothic" w:hAnsi="Century Gothic" w:cs="Arial"/>
          <w:color w:val="000080"/>
          <w:sz w:val="22"/>
          <w:szCs w:val="22"/>
        </w:rPr>
      </w:pPr>
    </w:p>
    <w:p w:rsidR="00876DC4" w:rsidRPr="00770158" w:rsidRDefault="00876DC4" w:rsidP="00770158">
      <w:pPr>
        <w:rPr>
          <w:rFonts w:ascii="Century Gothic" w:hAnsi="Century Gothic" w:cs="Arial"/>
          <w:color w:val="000080"/>
          <w:sz w:val="22"/>
          <w:szCs w:val="22"/>
        </w:rPr>
      </w:pPr>
      <w:r>
        <w:rPr>
          <w:rFonts w:ascii="Century Gothic" w:hAnsi="Century Gothic" w:cs="Arial"/>
          <w:color w:val="000080"/>
          <w:sz w:val="22"/>
          <w:szCs w:val="22"/>
        </w:rPr>
        <w:t>Programma in forma estesa:</w:t>
      </w:r>
    </w:p>
    <w:tbl>
      <w:tblPr>
        <w:tblW w:w="10112" w:type="dxa"/>
        <w:tblCellMar>
          <w:left w:w="10" w:type="dxa"/>
          <w:right w:w="10" w:type="dxa"/>
        </w:tblCellMar>
        <w:tblLook w:val="00A0"/>
      </w:tblPr>
      <w:tblGrid>
        <w:gridCol w:w="10112"/>
      </w:tblGrid>
      <w:tr w:rsidR="00876DC4" w:rsidRPr="00770158" w:rsidTr="00770158">
        <w:tc>
          <w:tcPr>
            <w:tcW w:w="101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DC4" w:rsidRPr="00274FDE" w:rsidRDefault="00876DC4" w:rsidP="00770158">
            <w:pPr>
              <w:spacing w:before="120"/>
              <w:rPr>
                <w:rFonts w:ascii="Century Gothic" w:hAnsi="Century Gothic"/>
                <w:b/>
                <w:color w:val="000080"/>
                <w:sz w:val="20"/>
                <w:u w:val="single"/>
              </w:rPr>
            </w:pPr>
            <w:r w:rsidRPr="00274FDE">
              <w:rPr>
                <w:rFonts w:ascii="Century Gothic" w:hAnsi="Century Gothic"/>
                <w:b/>
                <w:color w:val="000080"/>
                <w:sz w:val="20"/>
                <w:szCs w:val="22"/>
                <w:u w:val="single"/>
              </w:rPr>
              <w:t>IL METABOLISMO IDRO-ELETTROLITICO</w:t>
            </w:r>
          </w:p>
          <w:p w:rsidR="00876DC4" w:rsidRPr="005A6C18" w:rsidRDefault="00876DC4" w:rsidP="00274FDE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Century Gothic" w:hAnsi="Century Gothic"/>
                <w:color w:val="000080"/>
              </w:rPr>
            </w:pPr>
            <w:r w:rsidRPr="005A6C18">
              <w:rPr>
                <w:rFonts w:ascii="Century Gothic" w:hAnsi="Century Gothic"/>
                <w:color w:val="000080"/>
                <w:sz w:val="22"/>
              </w:rPr>
              <w:t>I compartimenti liquidi dell’organismo.</w:t>
            </w:r>
          </w:p>
          <w:p w:rsidR="00876DC4" w:rsidRPr="005A6C18" w:rsidRDefault="00876DC4" w:rsidP="00274FDE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Century Gothic" w:hAnsi="Century Gothic"/>
                <w:color w:val="000080"/>
              </w:rPr>
            </w:pPr>
            <w:r w:rsidRPr="005A6C18">
              <w:rPr>
                <w:rFonts w:ascii="Century Gothic" w:hAnsi="Century Gothic"/>
                <w:color w:val="000080"/>
                <w:sz w:val="22"/>
              </w:rPr>
              <w:t>Alterazioni dell’equilibrio idro-elettrolitico.</w:t>
            </w:r>
          </w:p>
          <w:p w:rsidR="00876DC4" w:rsidRPr="005A6C18" w:rsidRDefault="00876DC4" w:rsidP="00274FDE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Century Gothic" w:hAnsi="Century Gothic"/>
                <w:color w:val="000080"/>
              </w:rPr>
            </w:pPr>
            <w:r w:rsidRPr="005A6C18">
              <w:rPr>
                <w:rFonts w:ascii="Century Gothic" w:hAnsi="Century Gothic"/>
                <w:color w:val="000080"/>
                <w:sz w:val="22"/>
              </w:rPr>
              <w:t>Gli scambi tra compartimenti.</w:t>
            </w:r>
          </w:p>
          <w:p w:rsidR="00876DC4" w:rsidRPr="005A6C18" w:rsidRDefault="00876DC4" w:rsidP="00274FDE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Century Gothic" w:hAnsi="Century Gothic"/>
                <w:color w:val="000080"/>
              </w:rPr>
            </w:pPr>
            <w:r w:rsidRPr="005A6C18">
              <w:rPr>
                <w:rFonts w:ascii="Century Gothic" w:hAnsi="Century Gothic"/>
                <w:color w:val="000080"/>
                <w:sz w:val="22"/>
              </w:rPr>
              <w:t>Cause di variazioni dei liquidi extracellulari (cenni).</w:t>
            </w:r>
          </w:p>
          <w:p w:rsidR="00876DC4" w:rsidRPr="005A6C18" w:rsidRDefault="00876DC4" w:rsidP="00274FDE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Century Gothic" w:hAnsi="Century Gothic"/>
                <w:color w:val="000080"/>
              </w:rPr>
            </w:pPr>
            <w:r w:rsidRPr="005A6C18">
              <w:rPr>
                <w:rFonts w:ascii="Century Gothic" w:hAnsi="Century Gothic"/>
                <w:color w:val="000080"/>
                <w:sz w:val="22"/>
              </w:rPr>
              <w:t>Alterazioni dell’omeostasi del sodio.</w:t>
            </w:r>
          </w:p>
          <w:p w:rsidR="00876DC4" w:rsidRPr="005A6C18" w:rsidRDefault="00876DC4" w:rsidP="00274FDE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Century Gothic" w:hAnsi="Century Gothic"/>
                <w:color w:val="000080"/>
              </w:rPr>
            </w:pPr>
            <w:r w:rsidRPr="005A6C18">
              <w:rPr>
                <w:rFonts w:ascii="Century Gothic" w:hAnsi="Century Gothic"/>
                <w:color w:val="000080"/>
                <w:sz w:val="22"/>
              </w:rPr>
              <w:t>Ipertonia ed ipotonia: meccanismi (cenni).</w:t>
            </w:r>
          </w:p>
          <w:p w:rsidR="00876DC4" w:rsidRPr="005A6C18" w:rsidRDefault="00876DC4" w:rsidP="00274FDE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Century Gothic" w:hAnsi="Century Gothic"/>
                <w:color w:val="000080"/>
              </w:rPr>
            </w:pPr>
            <w:r w:rsidRPr="005A6C18">
              <w:rPr>
                <w:rFonts w:ascii="Century Gothic" w:hAnsi="Century Gothic"/>
                <w:color w:val="000080"/>
                <w:sz w:val="22"/>
              </w:rPr>
              <w:t>Iposmolarità ed iperosmolarità: cause e manifestazioni.</w:t>
            </w:r>
          </w:p>
          <w:p w:rsidR="00876DC4" w:rsidRPr="005A6C18" w:rsidRDefault="00876DC4" w:rsidP="00274FDE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Century Gothic" w:hAnsi="Century Gothic"/>
                <w:color w:val="000080"/>
              </w:rPr>
            </w:pPr>
            <w:r w:rsidRPr="005A6C18">
              <w:rPr>
                <w:rFonts w:ascii="Century Gothic" w:hAnsi="Century Gothic"/>
                <w:color w:val="000080"/>
                <w:sz w:val="22"/>
              </w:rPr>
              <w:t>Ruolo del tubulo renale nella escrezione e nel riassorbimento del sodio.</w:t>
            </w:r>
          </w:p>
          <w:p w:rsidR="00876DC4" w:rsidRPr="005A6C18" w:rsidRDefault="00876DC4" w:rsidP="00274FDE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Century Gothic" w:hAnsi="Century Gothic"/>
                <w:color w:val="000080"/>
              </w:rPr>
            </w:pPr>
            <w:r w:rsidRPr="005A6C18">
              <w:rPr>
                <w:rFonts w:ascii="Century Gothic" w:hAnsi="Century Gothic"/>
                <w:color w:val="000080"/>
                <w:sz w:val="22"/>
              </w:rPr>
              <w:t>Meccanismi di riassorbimento ed escrezione del sodio nelle differenti parti del tubulo.</w:t>
            </w:r>
          </w:p>
          <w:p w:rsidR="00876DC4" w:rsidRPr="005A6C18" w:rsidRDefault="00876DC4" w:rsidP="00274FDE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Century Gothic" w:hAnsi="Century Gothic"/>
                <w:color w:val="000080"/>
              </w:rPr>
            </w:pPr>
            <w:r w:rsidRPr="005A6C18">
              <w:rPr>
                <w:rFonts w:ascii="Century Gothic" w:hAnsi="Century Gothic"/>
                <w:color w:val="000080"/>
                <w:sz w:val="22"/>
              </w:rPr>
              <w:t>Iperpotassiemia ed ipopotassiemia.</w:t>
            </w:r>
          </w:p>
          <w:p w:rsidR="00876DC4" w:rsidRPr="005A6C18" w:rsidRDefault="00876DC4" w:rsidP="00274FDE">
            <w:pPr>
              <w:pStyle w:val="ListParagraph"/>
              <w:numPr>
                <w:ilvl w:val="0"/>
                <w:numId w:val="3"/>
              </w:numPr>
              <w:spacing w:after="120"/>
              <w:ind w:left="284" w:hanging="284"/>
              <w:rPr>
                <w:rFonts w:ascii="Century Gothic" w:hAnsi="Century Gothic"/>
                <w:color w:val="000080"/>
              </w:rPr>
            </w:pPr>
            <w:r w:rsidRPr="005A6C18">
              <w:rPr>
                <w:rFonts w:ascii="Century Gothic" w:hAnsi="Century Gothic"/>
                <w:color w:val="000080"/>
                <w:sz w:val="22"/>
              </w:rPr>
              <w:t>L’insufficienza renale acuta.</w:t>
            </w:r>
          </w:p>
          <w:p w:rsidR="00876DC4" w:rsidRPr="005A6C18" w:rsidRDefault="00876DC4" w:rsidP="00274FDE">
            <w:pPr>
              <w:pStyle w:val="ListParagraph"/>
              <w:numPr>
                <w:ilvl w:val="0"/>
                <w:numId w:val="3"/>
              </w:numPr>
              <w:spacing w:after="120"/>
              <w:ind w:left="284" w:hanging="284"/>
              <w:rPr>
                <w:rFonts w:ascii="Century Gothic" w:hAnsi="Century Gothic"/>
                <w:color w:val="000080"/>
              </w:rPr>
            </w:pPr>
            <w:r w:rsidRPr="005A6C18">
              <w:rPr>
                <w:rFonts w:ascii="Century Gothic" w:hAnsi="Century Gothic"/>
                <w:color w:val="000080"/>
                <w:sz w:val="22"/>
              </w:rPr>
              <w:t>L’insufficienza renale cronica (cenni).</w:t>
            </w:r>
          </w:p>
          <w:p w:rsidR="00876DC4" w:rsidRDefault="00876DC4" w:rsidP="00770158">
            <w:pPr>
              <w:spacing w:before="120"/>
              <w:rPr>
                <w:rFonts w:ascii="Century Gothic" w:hAnsi="Century Gothic"/>
                <w:b/>
                <w:color w:val="000080"/>
                <w:sz w:val="20"/>
                <w:szCs w:val="20"/>
                <w:u w:val="single"/>
              </w:rPr>
            </w:pPr>
          </w:p>
          <w:p w:rsidR="00876DC4" w:rsidRPr="00274FDE" w:rsidRDefault="00876DC4" w:rsidP="00770158">
            <w:pPr>
              <w:spacing w:before="120"/>
              <w:rPr>
                <w:rFonts w:ascii="Century Gothic" w:hAnsi="Century Gothic"/>
                <w:b/>
                <w:color w:val="000080"/>
                <w:sz w:val="20"/>
                <w:szCs w:val="20"/>
                <w:u w:val="single"/>
              </w:rPr>
            </w:pPr>
            <w:r w:rsidRPr="00274FDE">
              <w:rPr>
                <w:rFonts w:ascii="Century Gothic" w:hAnsi="Century Gothic"/>
                <w:b/>
                <w:color w:val="000080"/>
                <w:sz w:val="20"/>
                <w:szCs w:val="20"/>
                <w:u w:val="single"/>
              </w:rPr>
              <w:t>L’EQULIBRIO ACIDO-BASE</w:t>
            </w:r>
          </w:p>
          <w:p w:rsidR="00876DC4" w:rsidRPr="005A6C18" w:rsidRDefault="00876DC4" w:rsidP="00EB3467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Century Gothic" w:hAnsi="Century Gothic"/>
                <w:color w:val="000080"/>
              </w:rPr>
            </w:pPr>
            <w:r w:rsidRPr="005A6C18">
              <w:rPr>
                <w:rFonts w:ascii="Century Gothic" w:hAnsi="Century Gothic"/>
                <w:color w:val="000080"/>
                <w:sz w:val="22"/>
              </w:rPr>
              <w:t>Modulazione della escrezione di acidi e bicarbonato.</w:t>
            </w:r>
          </w:p>
          <w:p w:rsidR="00876DC4" w:rsidRPr="005A6C18" w:rsidRDefault="00876DC4" w:rsidP="00EB3467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Century Gothic" w:hAnsi="Century Gothic"/>
                <w:color w:val="000080"/>
              </w:rPr>
            </w:pPr>
            <w:r w:rsidRPr="005A6C18">
              <w:rPr>
                <w:rFonts w:ascii="Century Gothic" w:hAnsi="Century Gothic"/>
                <w:color w:val="000080"/>
                <w:sz w:val="22"/>
              </w:rPr>
              <w:t>L’acidosi e l’alcalosi metabolica.</w:t>
            </w:r>
          </w:p>
          <w:p w:rsidR="00876DC4" w:rsidRPr="005A6C18" w:rsidRDefault="00876DC4" w:rsidP="00EB3467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Century Gothic" w:hAnsi="Century Gothic"/>
                <w:color w:val="000080"/>
              </w:rPr>
            </w:pPr>
            <w:r w:rsidRPr="005A6C18">
              <w:rPr>
                <w:rFonts w:ascii="Century Gothic" w:hAnsi="Century Gothic"/>
                <w:color w:val="000080"/>
                <w:sz w:val="22"/>
              </w:rPr>
              <w:t>L’acidosi e l’alcalosi respiratoria.</w:t>
            </w:r>
          </w:p>
          <w:p w:rsidR="00876DC4" w:rsidRPr="005A6C18" w:rsidRDefault="00876DC4" w:rsidP="00EB3467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Century Gothic" w:hAnsi="Century Gothic"/>
                <w:color w:val="000080"/>
              </w:rPr>
            </w:pPr>
            <w:r w:rsidRPr="005A6C18">
              <w:rPr>
                <w:rFonts w:ascii="Century Gothic" w:hAnsi="Century Gothic"/>
                <w:color w:val="000080"/>
                <w:sz w:val="22"/>
              </w:rPr>
              <w:t>L’emogasanalisi (cenni)</w:t>
            </w:r>
          </w:p>
          <w:p w:rsidR="00876DC4" w:rsidRPr="00274FDE" w:rsidRDefault="00876DC4" w:rsidP="00EB3467">
            <w:pPr>
              <w:spacing w:before="120"/>
              <w:rPr>
                <w:rFonts w:ascii="Century Gothic" w:hAnsi="Century Gothic"/>
                <w:b/>
                <w:color w:val="000080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color w:val="000080"/>
                <w:sz w:val="20"/>
                <w:szCs w:val="20"/>
                <w:u w:val="single"/>
              </w:rPr>
              <w:t>LA CIRCOLAZIONE SISTEMICA</w:t>
            </w:r>
          </w:p>
          <w:p w:rsidR="00876DC4" w:rsidRPr="005A6C18" w:rsidRDefault="00876DC4" w:rsidP="00EB3467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="Century Gothic" w:hAnsi="Century Gothic"/>
                <w:color w:val="000080"/>
              </w:rPr>
            </w:pPr>
            <w:r w:rsidRPr="005A6C18">
              <w:rPr>
                <w:rFonts w:ascii="Century Gothic" w:hAnsi="Century Gothic"/>
                <w:color w:val="000080"/>
                <w:sz w:val="22"/>
              </w:rPr>
              <w:t>Meccanismi di regolazione del circolo sistemico.</w:t>
            </w:r>
          </w:p>
          <w:p w:rsidR="00876DC4" w:rsidRPr="005A6C18" w:rsidRDefault="00876DC4" w:rsidP="00EB3467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="Century Gothic" w:hAnsi="Century Gothic"/>
                <w:color w:val="000080"/>
              </w:rPr>
            </w:pPr>
            <w:r w:rsidRPr="005A6C18">
              <w:rPr>
                <w:rFonts w:ascii="Century Gothic" w:hAnsi="Century Gothic"/>
                <w:color w:val="000080"/>
                <w:sz w:val="22"/>
              </w:rPr>
              <w:t>La funzione cardiaca: relazione tra contrattilità, diametri ed efficienza della funzione cardiaca.</w:t>
            </w:r>
          </w:p>
          <w:p w:rsidR="00876DC4" w:rsidRPr="005A6C18" w:rsidRDefault="00876DC4" w:rsidP="00EB3467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="Century Gothic" w:hAnsi="Century Gothic"/>
                <w:color w:val="000080"/>
              </w:rPr>
            </w:pPr>
            <w:r w:rsidRPr="005A6C18">
              <w:rPr>
                <w:rFonts w:ascii="Century Gothic" w:hAnsi="Century Gothic"/>
                <w:color w:val="000080"/>
                <w:sz w:val="22"/>
              </w:rPr>
              <w:t>L’insufficienza cardiaca: meccanismi di compenso.</w:t>
            </w:r>
          </w:p>
          <w:p w:rsidR="00876DC4" w:rsidRPr="005A6C18" w:rsidRDefault="00876DC4" w:rsidP="00EB3467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="Century Gothic" w:hAnsi="Century Gothic"/>
                <w:color w:val="000080"/>
              </w:rPr>
            </w:pPr>
            <w:r w:rsidRPr="005A6C18">
              <w:rPr>
                <w:rFonts w:ascii="Century Gothic" w:hAnsi="Century Gothic"/>
                <w:color w:val="000080"/>
                <w:sz w:val="22"/>
              </w:rPr>
              <w:t>Meccanismi di progressione dell’insufficienza cardiaca: attivazione dei sistemi di ritenzione di acqua e sodio.</w:t>
            </w:r>
          </w:p>
          <w:p w:rsidR="00876DC4" w:rsidRPr="005A6C18" w:rsidRDefault="00876DC4" w:rsidP="00EB3467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="Century Gothic" w:hAnsi="Century Gothic"/>
                <w:color w:val="000080"/>
              </w:rPr>
            </w:pPr>
            <w:r w:rsidRPr="005A6C18">
              <w:rPr>
                <w:rFonts w:ascii="Century Gothic" w:hAnsi="Century Gothic"/>
                <w:color w:val="000080"/>
                <w:sz w:val="22"/>
              </w:rPr>
              <w:t>Fattori determinanti della pressione arteriosa.</w:t>
            </w:r>
          </w:p>
          <w:p w:rsidR="00876DC4" w:rsidRPr="005A6C18" w:rsidRDefault="00876DC4" w:rsidP="00EB3467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="Century Gothic" w:hAnsi="Century Gothic"/>
                <w:color w:val="000080"/>
              </w:rPr>
            </w:pPr>
            <w:r w:rsidRPr="005A6C18">
              <w:rPr>
                <w:rFonts w:ascii="Century Gothic" w:hAnsi="Century Gothic"/>
                <w:color w:val="000080"/>
                <w:sz w:val="22"/>
              </w:rPr>
              <w:t>Ipertensione arteriosa volume-dipendente: iperaldosteronismo.</w:t>
            </w:r>
          </w:p>
          <w:p w:rsidR="00876DC4" w:rsidRPr="005A6C18" w:rsidRDefault="00876DC4" w:rsidP="00EB3467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="Century Gothic" w:hAnsi="Century Gothic"/>
                <w:color w:val="000080"/>
              </w:rPr>
            </w:pPr>
            <w:r w:rsidRPr="005A6C18">
              <w:rPr>
                <w:rFonts w:ascii="Century Gothic" w:hAnsi="Century Gothic"/>
                <w:color w:val="000080"/>
                <w:sz w:val="22"/>
              </w:rPr>
              <w:t>Ipertensione nefro-vascolare (cenni).</w:t>
            </w:r>
          </w:p>
          <w:p w:rsidR="00876DC4" w:rsidRPr="005A6C18" w:rsidRDefault="00876DC4" w:rsidP="00EB3467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="Century Gothic" w:hAnsi="Century Gothic"/>
                <w:color w:val="000080"/>
              </w:rPr>
            </w:pPr>
            <w:r w:rsidRPr="005A6C18">
              <w:rPr>
                <w:rFonts w:ascii="Century Gothic" w:hAnsi="Century Gothic"/>
                <w:color w:val="000080"/>
                <w:sz w:val="22"/>
              </w:rPr>
              <w:t>Lo shock</w:t>
            </w:r>
          </w:p>
          <w:p w:rsidR="00876DC4" w:rsidRPr="005A6C18" w:rsidRDefault="00876DC4" w:rsidP="005A6C18">
            <w:pPr>
              <w:spacing w:before="120"/>
              <w:rPr>
                <w:rFonts w:ascii="Century Gothic" w:hAnsi="Century Gothic"/>
                <w:b/>
                <w:color w:val="000080"/>
                <w:sz w:val="20"/>
                <w:u w:val="single"/>
              </w:rPr>
            </w:pPr>
            <w:r w:rsidRPr="005A6C18">
              <w:rPr>
                <w:rFonts w:ascii="Century Gothic" w:hAnsi="Century Gothic"/>
                <w:b/>
                <w:color w:val="000080"/>
                <w:sz w:val="20"/>
                <w:u w:val="single"/>
              </w:rPr>
              <w:t>IL SISTEMA IPOTALAMO-IPOFISI-SURRENE</w:t>
            </w:r>
          </w:p>
          <w:p w:rsidR="00876DC4" w:rsidRPr="00EB3467" w:rsidRDefault="00876DC4" w:rsidP="00EB3467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="Century Gothic" w:hAnsi="Century Gothic"/>
                <w:color w:val="000080"/>
              </w:rPr>
            </w:pPr>
            <w:r w:rsidRPr="00EB3467">
              <w:rPr>
                <w:rFonts w:ascii="Century Gothic" w:hAnsi="Century Gothic"/>
                <w:color w:val="000080"/>
              </w:rPr>
              <w:t>Iperfunzione surrenalica: sindrome e morbo di Cushing (cenni).</w:t>
            </w:r>
          </w:p>
          <w:p w:rsidR="00876DC4" w:rsidRPr="00EB3467" w:rsidRDefault="00876DC4" w:rsidP="00EB3467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="Century Gothic" w:hAnsi="Century Gothic"/>
                <w:color w:val="000080"/>
              </w:rPr>
            </w:pPr>
            <w:r w:rsidRPr="00EB3467">
              <w:rPr>
                <w:rFonts w:ascii="Century Gothic" w:hAnsi="Century Gothic"/>
                <w:color w:val="000080"/>
              </w:rPr>
              <w:t>Iperfunzione degli ormoni mineralcorticoidi (iperaldosteronismo).</w:t>
            </w:r>
          </w:p>
          <w:p w:rsidR="00876DC4" w:rsidRPr="00EB3467" w:rsidRDefault="00876DC4" w:rsidP="00EB3467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="Century Gothic" w:hAnsi="Century Gothic"/>
                <w:color w:val="000080"/>
              </w:rPr>
            </w:pPr>
            <w:r w:rsidRPr="00EB3467">
              <w:rPr>
                <w:rFonts w:ascii="Century Gothic" w:hAnsi="Century Gothic"/>
                <w:color w:val="000080"/>
              </w:rPr>
              <w:t>L’insufficienza surrenalica.</w:t>
            </w:r>
          </w:p>
          <w:p w:rsidR="00876DC4" w:rsidRPr="00EB3467" w:rsidRDefault="00876DC4" w:rsidP="00EB3467">
            <w:pPr>
              <w:spacing w:before="120"/>
              <w:rPr>
                <w:rFonts w:ascii="Century Gothic" w:hAnsi="Century Gothic"/>
                <w:b/>
                <w:color w:val="000080"/>
                <w:sz w:val="20"/>
                <w:szCs w:val="20"/>
              </w:rPr>
            </w:pPr>
            <w:r w:rsidRPr="00EB3467">
              <w:rPr>
                <w:rFonts w:ascii="Century Gothic" w:hAnsi="Century Gothic"/>
                <w:b/>
                <w:color w:val="000080"/>
                <w:sz w:val="20"/>
                <w:szCs w:val="20"/>
                <w:u w:val="single"/>
              </w:rPr>
              <w:t>IL SISTEMA IPOTALAMO-IPOFISI-TIROIDE</w:t>
            </w:r>
          </w:p>
          <w:p w:rsidR="00876DC4" w:rsidRPr="00EB3467" w:rsidRDefault="00876DC4" w:rsidP="00EB3467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="Century Gothic" w:hAnsi="Century Gothic"/>
                <w:color w:val="000080"/>
              </w:rPr>
            </w:pPr>
            <w:r w:rsidRPr="00EB3467">
              <w:rPr>
                <w:rFonts w:ascii="Century Gothic" w:hAnsi="Century Gothic"/>
                <w:color w:val="000080"/>
              </w:rPr>
              <w:t>Ipotiroidismo e ipertiroidismo.</w:t>
            </w:r>
          </w:p>
          <w:p w:rsidR="00876DC4" w:rsidRPr="00EB3467" w:rsidRDefault="00876DC4" w:rsidP="00EB3467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="Century Gothic" w:hAnsi="Century Gothic"/>
                <w:color w:val="000080"/>
              </w:rPr>
            </w:pPr>
            <w:r w:rsidRPr="00EB3467">
              <w:rPr>
                <w:rFonts w:ascii="Century Gothic" w:hAnsi="Century Gothic"/>
                <w:color w:val="000080"/>
              </w:rPr>
              <w:t>Effetti e cause della disfunzione tiroidea.</w:t>
            </w:r>
          </w:p>
          <w:p w:rsidR="00876DC4" w:rsidRPr="00EB3467" w:rsidRDefault="00876DC4" w:rsidP="00EB3467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="Century Gothic" w:hAnsi="Century Gothic"/>
                <w:color w:val="000080"/>
              </w:rPr>
            </w:pPr>
            <w:r w:rsidRPr="00EB3467">
              <w:rPr>
                <w:rFonts w:ascii="Century Gothic" w:hAnsi="Century Gothic"/>
                <w:color w:val="000080"/>
              </w:rPr>
              <w:t>Esami di laboratorio utili ad individuare le patologie ormonali endocrine.</w:t>
            </w:r>
          </w:p>
          <w:p w:rsidR="00876DC4" w:rsidRPr="00EB3467" w:rsidRDefault="00876DC4" w:rsidP="00EB3467">
            <w:pPr>
              <w:spacing w:before="120"/>
              <w:ind w:left="284" w:hanging="284"/>
              <w:rPr>
                <w:rFonts w:ascii="Century Gothic" w:hAnsi="Century Gothic"/>
                <w:b/>
                <w:color w:val="000080"/>
                <w:sz w:val="20"/>
                <w:szCs w:val="20"/>
                <w:u w:val="single"/>
              </w:rPr>
            </w:pPr>
            <w:r w:rsidRPr="00EB3467">
              <w:rPr>
                <w:rFonts w:ascii="Century Gothic" w:hAnsi="Century Gothic"/>
                <w:b/>
                <w:color w:val="000080"/>
                <w:sz w:val="20"/>
                <w:szCs w:val="20"/>
                <w:u w:val="single"/>
              </w:rPr>
              <w:t>IL DIABETE MELLITO</w:t>
            </w:r>
          </w:p>
          <w:p w:rsidR="00876DC4" w:rsidRPr="00EB3467" w:rsidRDefault="00876DC4" w:rsidP="00EB3467"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rFonts w:ascii="Century Gothic" w:hAnsi="Century Gothic"/>
                <w:color w:val="000080"/>
              </w:rPr>
            </w:pPr>
            <w:r w:rsidRPr="00EB3467">
              <w:rPr>
                <w:rFonts w:ascii="Century Gothic" w:hAnsi="Century Gothic"/>
                <w:color w:val="000080"/>
              </w:rPr>
              <w:t>Fisiopatologia del diabete insulino-dipendente (cenni).</w:t>
            </w:r>
          </w:p>
          <w:p w:rsidR="00876DC4" w:rsidRPr="00EB3467" w:rsidRDefault="00876DC4" w:rsidP="00EB3467"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rFonts w:ascii="Century Gothic" w:hAnsi="Century Gothic"/>
                <w:color w:val="000080"/>
              </w:rPr>
            </w:pPr>
            <w:r w:rsidRPr="00EB3467">
              <w:rPr>
                <w:rFonts w:ascii="Century Gothic" w:hAnsi="Century Gothic"/>
                <w:color w:val="000080"/>
              </w:rPr>
              <w:t>Fisiopatologia del diabete di tipo 1 e di tipo 2.</w:t>
            </w:r>
          </w:p>
          <w:p w:rsidR="00876DC4" w:rsidRPr="00EB3467" w:rsidRDefault="00876DC4" w:rsidP="00EB3467"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rFonts w:ascii="Century Gothic" w:hAnsi="Century Gothic"/>
                <w:color w:val="000080"/>
              </w:rPr>
            </w:pPr>
            <w:r w:rsidRPr="00EB3467">
              <w:rPr>
                <w:rFonts w:ascii="Century Gothic" w:hAnsi="Century Gothic"/>
                <w:color w:val="000080"/>
              </w:rPr>
              <w:t>Il coma diabetico chetoacidosico, il coma iperosmolare ed il coma ipoglicemico.</w:t>
            </w:r>
          </w:p>
          <w:p w:rsidR="00876DC4" w:rsidRPr="00EB3467" w:rsidRDefault="00876DC4" w:rsidP="00EB3467"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rFonts w:ascii="Century Gothic" w:hAnsi="Century Gothic"/>
                <w:color w:val="000080"/>
              </w:rPr>
            </w:pPr>
            <w:r w:rsidRPr="00EB3467">
              <w:rPr>
                <w:rFonts w:ascii="Century Gothic" w:hAnsi="Century Gothic"/>
                <w:color w:val="000080"/>
              </w:rPr>
              <w:t>Esami di laboratorio utili nella diagnosi e nel follow-up del paziente diabetico.</w:t>
            </w:r>
          </w:p>
          <w:p w:rsidR="00876DC4" w:rsidRPr="00EB3467" w:rsidRDefault="00876DC4" w:rsidP="00EB3467">
            <w:pPr>
              <w:spacing w:before="120" w:after="120"/>
              <w:rPr>
                <w:rFonts w:ascii="Century Gothic" w:hAnsi="Century Gothic"/>
                <w:b/>
                <w:color w:val="000080"/>
                <w:u w:val="single"/>
              </w:rPr>
            </w:pPr>
            <w:r w:rsidRPr="00EB3467">
              <w:rPr>
                <w:rFonts w:ascii="Century Gothic" w:hAnsi="Century Gothic"/>
                <w:b/>
                <w:color w:val="000080"/>
                <w:sz w:val="20"/>
                <w:u w:val="single"/>
              </w:rPr>
              <w:t>L</w:t>
            </w:r>
            <w:r w:rsidRPr="00EB3467">
              <w:rPr>
                <w:rFonts w:ascii="Century Gothic" w:hAnsi="Century Gothic"/>
                <w:b/>
                <w:color w:val="000080"/>
                <w:sz w:val="20"/>
                <w:szCs w:val="20"/>
                <w:u w:val="single"/>
              </w:rPr>
              <w:t>’OBESIT</w:t>
            </w:r>
            <w:r>
              <w:rPr>
                <w:rFonts w:ascii="Century Gothic" w:hAnsi="Century Gothic" w:cs="Calibri"/>
                <w:b/>
                <w:color w:val="000080"/>
                <w:sz w:val="20"/>
                <w:szCs w:val="20"/>
                <w:u w:val="single"/>
              </w:rPr>
              <w:t>À</w:t>
            </w:r>
            <w:r w:rsidRPr="00EB3467">
              <w:rPr>
                <w:rFonts w:ascii="Century Gothic" w:hAnsi="Century Gothic"/>
                <w:b/>
                <w:color w:val="000080"/>
                <w:sz w:val="20"/>
                <w:szCs w:val="20"/>
                <w:u w:val="single"/>
              </w:rPr>
              <w:t xml:space="preserve"> </w:t>
            </w:r>
          </w:p>
          <w:p w:rsidR="00876DC4" w:rsidRPr="00EB3467" w:rsidRDefault="00876DC4" w:rsidP="00770158">
            <w:pPr>
              <w:rPr>
                <w:rFonts w:ascii="Century Gothic" w:hAnsi="Century Gothic"/>
                <w:b/>
                <w:color w:val="000080"/>
                <w:sz w:val="20"/>
                <w:szCs w:val="20"/>
                <w:u w:val="single"/>
              </w:rPr>
            </w:pPr>
            <w:r w:rsidRPr="00EB3467">
              <w:rPr>
                <w:rFonts w:ascii="Century Gothic" w:hAnsi="Century Gothic"/>
                <w:b/>
                <w:color w:val="000080"/>
                <w:sz w:val="20"/>
                <w:szCs w:val="20"/>
                <w:u w:val="single"/>
              </w:rPr>
              <w:t>MECCANISMI DELL’INSUFFICIENZA RESPIRATORIA</w:t>
            </w:r>
          </w:p>
          <w:p w:rsidR="00876DC4" w:rsidRPr="005A6C18" w:rsidRDefault="00876DC4" w:rsidP="00EB3467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ascii="Century Gothic" w:hAnsi="Century Gothic"/>
                <w:color w:val="000080"/>
              </w:rPr>
            </w:pPr>
            <w:r w:rsidRPr="005A6C18">
              <w:rPr>
                <w:rFonts w:ascii="Century Gothic" w:hAnsi="Century Gothic"/>
                <w:color w:val="000080"/>
                <w:sz w:val="22"/>
                <w:szCs w:val="22"/>
              </w:rPr>
              <w:t xml:space="preserve">Anatomia e fisiopatologia dell’apparato respiratorio </w:t>
            </w:r>
          </w:p>
          <w:p w:rsidR="00876DC4" w:rsidRPr="005A6C18" w:rsidRDefault="00876DC4" w:rsidP="00EB3467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ascii="Century Gothic" w:hAnsi="Century Gothic"/>
                <w:color w:val="000080"/>
              </w:rPr>
            </w:pPr>
            <w:r w:rsidRPr="005A6C18">
              <w:rPr>
                <w:rFonts w:ascii="Century Gothic" w:hAnsi="Century Gothic"/>
                <w:color w:val="000080"/>
                <w:sz w:val="22"/>
                <w:szCs w:val="22"/>
              </w:rPr>
              <w:t>Pneumopatie ostruttive.</w:t>
            </w:r>
          </w:p>
          <w:p w:rsidR="00876DC4" w:rsidRPr="005A6C18" w:rsidRDefault="00876DC4" w:rsidP="00EB3467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ascii="Century Gothic" w:hAnsi="Century Gothic"/>
                <w:color w:val="000080"/>
              </w:rPr>
            </w:pPr>
            <w:r w:rsidRPr="005A6C18">
              <w:rPr>
                <w:rFonts w:ascii="Century Gothic" w:hAnsi="Century Gothic"/>
                <w:color w:val="000080"/>
                <w:sz w:val="22"/>
                <w:szCs w:val="22"/>
              </w:rPr>
              <w:t>Pneumopatie restrittive.</w:t>
            </w:r>
          </w:p>
          <w:p w:rsidR="00876DC4" w:rsidRPr="005A6C18" w:rsidRDefault="00876DC4" w:rsidP="00EB3467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ascii="Century Gothic" w:hAnsi="Century Gothic"/>
                <w:color w:val="000080"/>
              </w:rPr>
            </w:pPr>
            <w:r w:rsidRPr="005A6C18">
              <w:rPr>
                <w:rFonts w:ascii="Century Gothic" w:hAnsi="Century Gothic"/>
                <w:color w:val="000080"/>
                <w:sz w:val="22"/>
                <w:szCs w:val="22"/>
              </w:rPr>
              <w:t>Meccanismi di danno polmonare (cenni).</w:t>
            </w:r>
          </w:p>
          <w:p w:rsidR="00876DC4" w:rsidRPr="005A6C18" w:rsidRDefault="00876DC4" w:rsidP="00EB3467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ascii="Century Gothic" w:hAnsi="Century Gothic"/>
                <w:color w:val="000080"/>
              </w:rPr>
            </w:pPr>
            <w:r w:rsidRPr="005A6C18">
              <w:rPr>
                <w:rFonts w:ascii="Century Gothic" w:hAnsi="Century Gothic"/>
                <w:color w:val="000080"/>
                <w:sz w:val="22"/>
                <w:szCs w:val="22"/>
              </w:rPr>
              <w:t>Effetti delle malattie polmonari sugli scambi gassosi e sul trasporto di ossigeno ai tessuti.</w:t>
            </w:r>
          </w:p>
          <w:p w:rsidR="00876DC4" w:rsidRDefault="00876DC4" w:rsidP="007B780D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ascii="Century Gothic" w:hAnsi="Century Gothic"/>
                <w:color w:val="000080"/>
              </w:rPr>
            </w:pPr>
            <w:r w:rsidRPr="005A6C18">
              <w:rPr>
                <w:rFonts w:ascii="Century Gothic" w:hAnsi="Century Gothic"/>
                <w:color w:val="000080"/>
                <w:sz w:val="22"/>
                <w:szCs w:val="22"/>
              </w:rPr>
              <w:t>Esami di laboratorio utili ad individuare le patologie dell’apparato respiratorio.</w:t>
            </w:r>
          </w:p>
          <w:p w:rsidR="00876DC4" w:rsidRPr="005A6C18" w:rsidRDefault="00876DC4" w:rsidP="005A6C18">
            <w:pPr>
              <w:pStyle w:val="ListParagraph"/>
              <w:ind w:left="284"/>
              <w:rPr>
                <w:rFonts w:ascii="Century Gothic" w:hAnsi="Century Gothic"/>
                <w:color w:val="000080"/>
              </w:rPr>
            </w:pPr>
          </w:p>
          <w:p w:rsidR="00876DC4" w:rsidRPr="00046CC6" w:rsidRDefault="00876DC4" w:rsidP="00046CC6">
            <w:pPr>
              <w:spacing w:before="120"/>
              <w:rPr>
                <w:rFonts w:ascii="Century Gothic" w:hAnsi="Century Gothic"/>
                <w:b/>
                <w:color w:val="000080"/>
                <w:sz w:val="20"/>
                <w:u w:val="single"/>
              </w:rPr>
            </w:pPr>
            <w:r w:rsidRPr="00046CC6">
              <w:rPr>
                <w:rFonts w:ascii="Century Gothic" w:hAnsi="Century Gothic"/>
                <w:b/>
                <w:color w:val="000080"/>
                <w:sz w:val="20"/>
                <w:u w:val="single"/>
              </w:rPr>
              <w:t>INSUFFICIENZA EPATICA</w:t>
            </w:r>
          </w:p>
          <w:p w:rsidR="00876DC4" w:rsidRPr="005A6C18" w:rsidRDefault="00876DC4" w:rsidP="00046CC6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ascii="Century Gothic" w:hAnsi="Century Gothic"/>
                <w:color w:val="000080"/>
              </w:rPr>
            </w:pPr>
            <w:r w:rsidRPr="005A6C18">
              <w:rPr>
                <w:rFonts w:ascii="Century Gothic" w:hAnsi="Century Gothic"/>
                <w:color w:val="000080"/>
                <w:sz w:val="22"/>
              </w:rPr>
              <w:t>Ittero e meccanismi dell’iperbilirubinemia (cenni).</w:t>
            </w:r>
          </w:p>
          <w:p w:rsidR="00876DC4" w:rsidRPr="005A6C18" w:rsidRDefault="00876DC4" w:rsidP="00046CC6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ascii="Century Gothic" w:hAnsi="Century Gothic"/>
                <w:color w:val="000080"/>
              </w:rPr>
            </w:pPr>
            <w:r w:rsidRPr="005A6C18">
              <w:rPr>
                <w:rFonts w:ascii="Century Gothic" w:hAnsi="Century Gothic"/>
                <w:color w:val="000080"/>
                <w:sz w:val="22"/>
              </w:rPr>
              <w:t>Emodinamica nella cirrosi epatica.</w:t>
            </w:r>
          </w:p>
          <w:p w:rsidR="00876DC4" w:rsidRPr="005A6C18" w:rsidRDefault="00876DC4" w:rsidP="00046CC6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ascii="Century Gothic" w:hAnsi="Century Gothic"/>
                <w:color w:val="000080"/>
              </w:rPr>
            </w:pPr>
            <w:r w:rsidRPr="005A6C18">
              <w:rPr>
                <w:rFonts w:ascii="Century Gothic" w:hAnsi="Century Gothic"/>
                <w:color w:val="000080"/>
                <w:sz w:val="22"/>
              </w:rPr>
              <w:t>Esami di laboratorio utili ad indi</w:t>
            </w:r>
            <w:r>
              <w:rPr>
                <w:rFonts w:ascii="Century Gothic" w:hAnsi="Century Gothic"/>
                <w:color w:val="000080"/>
                <w:sz w:val="22"/>
              </w:rPr>
              <w:t>viduare le patologie del fegato.</w:t>
            </w:r>
          </w:p>
          <w:p w:rsidR="00876DC4" w:rsidRPr="00046CC6" w:rsidRDefault="00876DC4" w:rsidP="00046CC6">
            <w:pPr>
              <w:spacing w:before="120"/>
              <w:rPr>
                <w:rFonts w:ascii="Century Gothic" w:hAnsi="Century Gothic"/>
                <w:b/>
                <w:color w:val="000080"/>
                <w:sz w:val="20"/>
                <w:u w:val="single"/>
              </w:rPr>
            </w:pPr>
            <w:r w:rsidRPr="00046CC6">
              <w:rPr>
                <w:rFonts w:ascii="Century Gothic" w:hAnsi="Century Gothic"/>
                <w:b/>
                <w:color w:val="000080"/>
                <w:sz w:val="20"/>
                <w:u w:val="single"/>
              </w:rPr>
              <w:t>SINDROMI DA MALASSORBIMENTO</w:t>
            </w:r>
          </w:p>
          <w:p w:rsidR="00876DC4" w:rsidRPr="005A6C18" w:rsidRDefault="00876DC4" w:rsidP="00046CC6">
            <w:pPr>
              <w:pStyle w:val="ListParagraph"/>
              <w:numPr>
                <w:ilvl w:val="0"/>
                <w:numId w:val="10"/>
              </w:numPr>
              <w:ind w:left="284" w:hanging="284"/>
              <w:rPr>
                <w:rFonts w:ascii="Century Gothic" w:hAnsi="Century Gothic"/>
                <w:color w:val="000080"/>
              </w:rPr>
            </w:pPr>
            <w:r w:rsidRPr="005A6C18">
              <w:rPr>
                <w:rFonts w:ascii="Century Gothic" w:hAnsi="Century Gothic"/>
                <w:color w:val="000080"/>
                <w:sz w:val="22"/>
              </w:rPr>
              <w:t>Meccanismi di digestione ed assorbimento di lipidi, carboidrati e vitamine.</w:t>
            </w:r>
          </w:p>
          <w:p w:rsidR="00876DC4" w:rsidRPr="005A6C18" w:rsidRDefault="00876DC4" w:rsidP="00046CC6">
            <w:pPr>
              <w:pStyle w:val="ListParagraph"/>
              <w:numPr>
                <w:ilvl w:val="0"/>
                <w:numId w:val="10"/>
              </w:numPr>
              <w:ind w:left="284" w:hanging="284"/>
              <w:rPr>
                <w:rFonts w:ascii="Century Gothic" w:hAnsi="Century Gothic"/>
                <w:color w:val="000080"/>
              </w:rPr>
            </w:pPr>
            <w:r w:rsidRPr="005A6C18">
              <w:rPr>
                <w:rFonts w:ascii="Century Gothic" w:hAnsi="Century Gothic"/>
                <w:color w:val="000080"/>
                <w:sz w:val="22"/>
              </w:rPr>
              <w:t>Principali meccanismi di malassorbimento (cenni).</w:t>
            </w:r>
          </w:p>
          <w:p w:rsidR="00876DC4" w:rsidRPr="00C913BA" w:rsidRDefault="00876DC4" w:rsidP="00C913BA">
            <w:pPr>
              <w:spacing w:before="120"/>
              <w:rPr>
                <w:rFonts w:ascii="Century Gothic" w:hAnsi="Century Gothic"/>
                <w:b/>
                <w:color w:val="000080"/>
                <w:sz w:val="20"/>
                <w:u w:val="single"/>
              </w:rPr>
            </w:pPr>
            <w:r w:rsidRPr="00C913BA">
              <w:rPr>
                <w:rFonts w:ascii="Century Gothic" w:hAnsi="Century Gothic"/>
                <w:b/>
                <w:color w:val="000080"/>
                <w:sz w:val="20"/>
                <w:u w:val="single"/>
              </w:rPr>
              <w:t>ALTERAZIONI DEL METABOLISMO DEL CALCIO</w:t>
            </w:r>
          </w:p>
          <w:p w:rsidR="00876DC4" w:rsidRPr="005A6C18" w:rsidRDefault="00876DC4" w:rsidP="00046CC6">
            <w:pPr>
              <w:pStyle w:val="ListParagraph"/>
              <w:numPr>
                <w:ilvl w:val="0"/>
                <w:numId w:val="10"/>
              </w:numPr>
              <w:ind w:left="284" w:hanging="284"/>
              <w:rPr>
                <w:rFonts w:ascii="Century Gothic" w:hAnsi="Century Gothic"/>
                <w:color w:val="000080"/>
              </w:rPr>
            </w:pPr>
            <w:r w:rsidRPr="005A6C18">
              <w:rPr>
                <w:rFonts w:ascii="Century Gothic" w:hAnsi="Century Gothic"/>
                <w:color w:val="000080"/>
                <w:sz w:val="22"/>
              </w:rPr>
              <w:t>Iperparatiroidismo (cenni).</w:t>
            </w:r>
          </w:p>
          <w:p w:rsidR="00876DC4" w:rsidRPr="005A6C18" w:rsidRDefault="00876DC4" w:rsidP="00046CC6">
            <w:pPr>
              <w:pStyle w:val="ListParagraph"/>
              <w:numPr>
                <w:ilvl w:val="0"/>
                <w:numId w:val="10"/>
              </w:numPr>
              <w:ind w:left="284" w:hanging="284"/>
              <w:rPr>
                <w:rFonts w:ascii="Century Gothic" w:hAnsi="Century Gothic"/>
                <w:color w:val="000080"/>
              </w:rPr>
            </w:pPr>
            <w:r w:rsidRPr="005A6C18">
              <w:rPr>
                <w:rFonts w:ascii="Century Gothic" w:hAnsi="Century Gothic"/>
                <w:color w:val="000080"/>
                <w:sz w:val="22"/>
              </w:rPr>
              <w:t>Ipo</w:t>
            </w:r>
            <w:r>
              <w:rPr>
                <w:rFonts w:ascii="Century Gothic" w:hAnsi="Century Gothic"/>
                <w:color w:val="000080"/>
                <w:sz w:val="22"/>
              </w:rPr>
              <w:t xml:space="preserve"> </w:t>
            </w:r>
            <w:r w:rsidRPr="005A6C18">
              <w:rPr>
                <w:rFonts w:ascii="Century Gothic" w:hAnsi="Century Gothic"/>
                <w:color w:val="000080"/>
                <w:sz w:val="22"/>
              </w:rPr>
              <w:t>- ed ipervitaminosi D.</w:t>
            </w:r>
          </w:p>
          <w:p w:rsidR="00876DC4" w:rsidRPr="00C913BA" w:rsidRDefault="00876DC4" w:rsidP="00C913BA">
            <w:pPr>
              <w:spacing w:before="120"/>
              <w:rPr>
                <w:rFonts w:ascii="Century Gothic" w:hAnsi="Century Gothic"/>
                <w:b/>
                <w:color w:val="000080"/>
                <w:sz w:val="20"/>
                <w:u w:val="single"/>
              </w:rPr>
            </w:pPr>
            <w:r w:rsidRPr="00C913BA">
              <w:rPr>
                <w:rFonts w:ascii="Century Gothic" w:hAnsi="Century Gothic"/>
                <w:b/>
                <w:color w:val="000080"/>
                <w:sz w:val="20"/>
                <w:u w:val="single"/>
              </w:rPr>
              <w:t>EMOSTASI E TROMBOSI</w:t>
            </w:r>
          </w:p>
          <w:p w:rsidR="00876DC4" w:rsidRPr="005A6C18" w:rsidRDefault="00876DC4" w:rsidP="00046CC6">
            <w:pPr>
              <w:pStyle w:val="ListParagraph"/>
              <w:numPr>
                <w:ilvl w:val="0"/>
                <w:numId w:val="10"/>
              </w:numPr>
              <w:ind w:left="284" w:hanging="284"/>
              <w:rPr>
                <w:rFonts w:ascii="Century Gothic" w:hAnsi="Century Gothic"/>
                <w:color w:val="000080"/>
              </w:rPr>
            </w:pPr>
            <w:r w:rsidRPr="005A6C18">
              <w:rPr>
                <w:rFonts w:ascii="Century Gothic" w:hAnsi="Century Gothic"/>
                <w:color w:val="000080"/>
                <w:sz w:val="22"/>
              </w:rPr>
              <w:t>La cascata coagulativa (attivazione fisiologica e patologica).</w:t>
            </w:r>
          </w:p>
          <w:p w:rsidR="00876DC4" w:rsidRPr="005A6C18" w:rsidRDefault="00876DC4" w:rsidP="00046CC6">
            <w:pPr>
              <w:pStyle w:val="ListParagraph"/>
              <w:numPr>
                <w:ilvl w:val="0"/>
                <w:numId w:val="10"/>
              </w:numPr>
              <w:ind w:left="284" w:hanging="284"/>
              <w:rPr>
                <w:rFonts w:ascii="Century Gothic" w:hAnsi="Century Gothic"/>
                <w:color w:val="000080"/>
              </w:rPr>
            </w:pPr>
            <w:r w:rsidRPr="005A6C18">
              <w:rPr>
                <w:rFonts w:ascii="Century Gothic" w:hAnsi="Century Gothic"/>
                <w:color w:val="000080"/>
                <w:sz w:val="22"/>
              </w:rPr>
              <w:t>Esami di laboratorio utili ad individuare le patologie della cascata coagulativa.</w:t>
            </w:r>
          </w:p>
          <w:p w:rsidR="00876DC4" w:rsidRPr="00770158" w:rsidRDefault="00876DC4" w:rsidP="00770158">
            <w:pPr>
              <w:jc w:val="both"/>
              <w:rPr>
                <w:rFonts w:ascii="Century Gothic" w:eastAsia="Arial Unicode MS" w:hAnsi="Century Gothic" w:cs="Arial"/>
                <w:color w:val="000080"/>
              </w:rPr>
            </w:pPr>
          </w:p>
        </w:tc>
      </w:tr>
    </w:tbl>
    <w:p w:rsidR="00876DC4" w:rsidRPr="00770158" w:rsidRDefault="00876DC4">
      <w:pPr>
        <w:rPr>
          <w:rFonts w:ascii="Century Gothic" w:hAnsi="Century Gothic" w:cs="Arial"/>
          <w:color w:val="000080"/>
          <w:sz w:val="22"/>
          <w:szCs w:val="22"/>
        </w:rPr>
      </w:pPr>
    </w:p>
    <w:p w:rsidR="00876DC4" w:rsidRPr="00770158" w:rsidRDefault="00876DC4">
      <w:pPr>
        <w:ind w:right="428"/>
        <w:jc w:val="both"/>
        <w:rPr>
          <w:rFonts w:ascii="Century Gothic" w:hAnsi="Century Gothic" w:cs="Arial"/>
          <w:color w:val="000080"/>
          <w:sz w:val="22"/>
          <w:szCs w:val="22"/>
        </w:rPr>
      </w:pPr>
      <w:r w:rsidRPr="00770158">
        <w:rPr>
          <w:rFonts w:ascii="Century Gothic" w:hAnsi="Century Gothic" w:cs="Arial"/>
          <w:color w:val="000080"/>
          <w:sz w:val="22"/>
          <w:szCs w:val="22"/>
        </w:rPr>
        <w:t>Modalità d’esame:</w:t>
      </w:r>
    </w:p>
    <w:tbl>
      <w:tblPr>
        <w:tblW w:w="10112" w:type="dxa"/>
        <w:tblCellMar>
          <w:left w:w="10" w:type="dxa"/>
          <w:right w:w="10" w:type="dxa"/>
        </w:tblCellMar>
        <w:tblLook w:val="00A0"/>
      </w:tblPr>
      <w:tblGrid>
        <w:gridCol w:w="10112"/>
      </w:tblGrid>
      <w:tr w:rsidR="00876DC4" w:rsidRPr="00770158">
        <w:tc>
          <w:tcPr>
            <w:tcW w:w="1011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DC4" w:rsidRPr="00770158" w:rsidRDefault="00876DC4">
            <w:pPr>
              <w:ind w:right="428"/>
              <w:jc w:val="both"/>
              <w:rPr>
                <w:rFonts w:ascii="Century Gothic" w:hAnsi="Century Gothic" w:cs="Arial"/>
                <w:color w:val="000080"/>
              </w:rPr>
            </w:pPr>
          </w:p>
          <w:p w:rsidR="00876DC4" w:rsidRPr="00770158" w:rsidRDefault="00876DC4">
            <w:pPr>
              <w:rPr>
                <w:rFonts w:ascii="Century Gothic" w:hAnsi="Century Gothic"/>
                <w:color w:val="000080"/>
              </w:rPr>
            </w:pPr>
            <w:r w:rsidRPr="00770158">
              <w:rPr>
                <w:rFonts w:ascii="Century Gothic" w:hAnsi="Century Gothic"/>
                <w:color w:val="000080"/>
              </w:rPr>
              <w:t>Colloquio orale</w:t>
            </w:r>
          </w:p>
          <w:p w:rsidR="00876DC4" w:rsidRPr="00770158" w:rsidRDefault="00876DC4">
            <w:pPr>
              <w:ind w:right="428"/>
              <w:jc w:val="both"/>
              <w:rPr>
                <w:rFonts w:ascii="Century Gothic" w:hAnsi="Century Gothic" w:cs="Arial"/>
                <w:color w:val="000080"/>
              </w:rPr>
            </w:pPr>
          </w:p>
        </w:tc>
      </w:tr>
    </w:tbl>
    <w:p w:rsidR="00876DC4" w:rsidRDefault="00876DC4" w:rsidP="00C913BA">
      <w:pPr>
        <w:ind w:right="428"/>
        <w:jc w:val="both"/>
        <w:rPr>
          <w:rFonts w:ascii="Century Gothic" w:hAnsi="Century Gothic" w:cs="Arial"/>
          <w:color w:val="000080"/>
          <w:sz w:val="22"/>
          <w:szCs w:val="22"/>
        </w:rPr>
      </w:pPr>
    </w:p>
    <w:p w:rsidR="00876DC4" w:rsidRPr="00770158" w:rsidRDefault="00876DC4" w:rsidP="00C913BA">
      <w:pPr>
        <w:widowControl w:val="0"/>
        <w:spacing w:before="100" w:after="100"/>
        <w:rPr>
          <w:rFonts w:ascii="Century Gothic" w:hAnsi="Century Gothic" w:cs="Arial"/>
          <w:color w:val="000080"/>
          <w:sz w:val="22"/>
          <w:szCs w:val="22"/>
        </w:rPr>
      </w:pPr>
      <w:r w:rsidRPr="00770158">
        <w:rPr>
          <w:rFonts w:ascii="Century Gothic" w:hAnsi="Century Gothic" w:cs="Arial"/>
          <w:color w:val="000080"/>
          <w:sz w:val="22"/>
          <w:szCs w:val="22"/>
        </w:rPr>
        <w:t xml:space="preserve">Testi consigliati:   </w:t>
      </w:r>
    </w:p>
    <w:tbl>
      <w:tblPr>
        <w:tblW w:w="10112" w:type="dxa"/>
        <w:tblCellMar>
          <w:left w:w="10" w:type="dxa"/>
          <w:right w:w="10" w:type="dxa"/>
        </w:tblCellMar>
        <w:tblLook w:val="00A0"/>
      </w:tblPr>
      <w:tblGrid>
        <w:gridCol w:w="10112"/>
      </w:tblGrid>
      <w:tr w:rsidR="00876DC4" w:rsidRPr="00770158" w:rsidTr="00427DD9">
        <w:tc>
          <w:tcPr>
            <w:tcW w:w="1011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DC4" w:rsidRPr="00C913BA" w:rsidRDefault="00876DC4" w:rsidP="00C913BA">
            <w:pPr>
              <w:widowControl w:val="0"/>
              <w:numPr>
                <w:ilvl w:val="0"/>
                <w:numId w:val="1"/>
              </w:numPr>
              <w:spacing w:before="100" w:after="100"/>
              <w:ind w:left="426" w:hanging="426"/>
              <w:rPr>
                <w:rFonts w:ascii="Century Gothic" w:hAnsi="Century Gothic"/>
              </w:rPr>
            </w:pPr>
            <w:r w:rsidRPr="00770158">
              <w:rPr>
                <w:rFonts w:ascii="Century Gothic" w:hAnsi="Century Gothic" w:cs="Arial"/>
                <w:color w:val="000080"/>
                <w:sz w:val="22"/>
                <w:szCs w:val="22"/>
              </w:rPr>
              <w:t xml:space="preserve">   </w:t>
            </w:r>
            <w:r w:rsidRPr="00770158">
              <w:rPr>
                <w:rFonts w:ascii="Century Gothic" w:hAnsi="Century Gothic"/>
                <w:color w:val="000080"/>
              </w:rPr>
              <w:t>Pontieri</w:t>
            </w:r>
            <w:r>
              <w:rPr>
                <w:rFonts w:ascii="Century Gothic" w:hAnsi="Century Gothic"/>
                <w:color w:val="000080"/>
              </w:rPr>
              <w:t xml:space="preserve"> G.M.</w:t>
            </w:r>
            <w:r w:rsidRPr="00770158">
              <w:rPr>
                <w:rFonts w:ascii="Century Gothic" w:hAnsi="Century Gothic"/>
                <w:color w:val="000080"/>
              </w:rPr>
              <w:t xml:space="preserve"> Fisiopatologia generale. Padova: PICCIN</w:t>
            </w:r>
          </w:p>
        </w:tc>
      </w:tr>
    </w:tbl>
    <w:p w:rsidR="00876DC4" w:rsidRDefault="00876DC4" w:rsidP="00C913BA">
      <w:pPr>
        <w:ind w:right="428"/>
        <w:jc w:val="both"/>
        <w:rPr>
          <w:rFonts w:ascii="Century Gothic" w:hAnsi="Century Gothic" w:cs="Arial"/>
          <w:color w:val="000080"/>
          <w:sz w:val="22"/>
          <w:szCs w:val="22"/>
        </w:rPr>
      </w:pPr>
    </w:p>
    <w:p w:rsidR="00876DC4" w:rsidRDefault="00876DC4" w:rsidP="00427DD9">
      <w:pPr>
        <w:ind w:left="220" w:right="428" w:hanging="200"/>
        <w:jc w:val="both"/>
        <w:rPr>
          <w:rFonts w:ascii="Century Gothic" w:hAnsi="Century Gothic" w:cs="Arial"/>
          <w:color w:val="000080"/>
          <w:sz w:val="22"/>
          <w:szCs w:val="22"/>
        </w:rPr>
      </w:pPr>
    </w:p>
    <w:p w:rsidR="00876DC4" w:rsidRPr="009F2048" w:rsidRDefault="00876DC4" w:rsidP="00427DD9">
      <w:pPr>
        <w:ind w:left="220" w:right="428" w:hanging="200"/>
        <w:jc w:val="both"/>
        <w:rPr>
          <w:rFonts w:ascii="Century Gothic" w:hAnsi="Century Gothic" w:cs="Arial"/>
          <w:color w:val="000080"/>
          <w:sz w:val="22"/>
          <w:szCs w:val="22"/>
        </w:rPr>
      </w:pPr>
      <w:r w:rsidRPr="009F2048">
        <w:rPr>
          <w:rFonts w:ascii="Century Gothic" w:hAnsi="Century Gothic" w:cs="Arial"/>
          <w:color w:val="000080"/>
          <w:sz w:val="22"/>
          <w:szCs w:val="22"/>
        </w:rPr>
        <w:t xml:space="preserve">Riferimenti del Docente e Ricevimento studenti:  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0112"/>
      </w:tblGrid>
      <w:tr w:rsidR="00876DC4" w:rsidRPr="009F2048" w:rsidTr="00427DD9">
        <w:tc>
          <w:tcPr>
            <w:tcW w:w="10112" w:type="dxa"/>
          </w:tcPr>
          <w:p w:rsidR="00876DC4" w:rsidRPr="009F2048" w:rsidRDefault="00876DC4" w:rsidP="00427DD9">
            <w:pPr>
              <w:widowControl w:val="0"/>
              <w:jc w:val="both"/>
              <w:rPr>
                <w:rFonts w:ascii="Century Gothic" w:hAnsi="Century Gothic" w:cs="Arial"/>
                <w:b/>
                <w:color w:val="000080"/>
              </w:rPr>
            </w:pPr>
          </w:p>
          <w:p w:rsidR="00876DC4" w:rsidRPr="00770158" w:rsidRDefault="00876DC4" w:rsidP="00427DD9">
            <w:pPr>
              <w:rPr>
                <w:rFonts w:ascii="Century Gothic" w:hAnsi="Century Gothic"/>
              </w:rPr>
            </w:pPr>
            <w:r w:rsidRPr="00405F0A">
              <w:rPr>
                <w:rFonts w:ascii="Maiandra GD" w:hAnsi="Maiandra GD" w:cs="Arial"/>
                <w:color w:val="000080"/>
                <w:sz w:val="22"/>
                <w:szCs w:val="22"/>
              </w:rPr>
              <w:sym w:font="Wingdings 2" w:char="F027"/>
            </w:r>
            <w:r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  </w:t>
            </w:r>
            <w:r w:rsidRPr="00770158">
              <w:rPr>
                <w:rFonts w:ascii="Century Gothic" w:hAnsi="Century Gothic" w:cs="Arial"/>
                <w:color w:val="000080"/>
                <w:sz w:val="22"/>
                <w:szCs w:val="22"/>
              </w:rPr>
              <w:t xml:space="preserve">   </w:t>
            </w:r>
            <w:r w:rsidRPr="00770158">
              <w:rPr>
                <w:rFonts w:ascii="Century Gothic" w:hAnsi="Century Gothic"/>
                <w:color w:val="000080"/>
              </w:rPr>
              <w:t>045</w:t>
            </w:r>
            <w:r>
              <w:rPr>
                <w:rFonts w:ascii="Century Gothic" w:hAnsi="Century Gothic"/>
                <w:color w:val="000080"/>
              </w:rPr>
              <w:t xml:space="preserve"> - </w:t>
            </w:r>
            <w:r w:rsidRPr="00770158">
              <w:rPr>
                <w:rFonts w:ascii="Century Gothic" w:hAnsi="Century Gothic"/>
                <w:color w:val="000080"/>
              </w:rPr>
              <w:t xml:space="preserve"> 812</w:t>
            </w:r>
            <w:r>
              <w:rPr>
                <w:rFonts w:ascii="Century Gothic" w:hAnsi="Century Gothic"/>
                <w:color w:val="000080"/>
              </w:rPr>
              <w:t>.</w:t>
            </w:r>
            <w:r w:rsidRPr="00770158">
              <w:rPr>
                <w:rFonts w:ascii="Century Gothic" w:hAnsi="Century Gothic"/>
                <w:color w:val="000080"/>
              </w:rPr>
              <w:t>47</w:t>
            </w:r>
            <w:r>
              <w:rPr>
                <w:rFonts w:ascii="Century Gothic" w:hAnsi="Century Gothic"/>
                <w:color w:val="000080"/>
              </w:rPr>
              <w:t>.</w:t>
            </w:r>
            <w:r w:rsidRPr="00770158">
              <w:rPr>
                <w:rFonts w:ascii="Century Gothic" w:hAnsi="Century Gothic"/>
                <w:color w:val="000080"/>
              </w:rPr>
              <w:t>32</w:t>
            </w:r>
            <w:r>
              <w:rPr>
                <w:rFonts w:ascii="Century Gothic" w:hAnsi="Century Gothic"/>
                <w:color w:val="000080"/>
              </w:rPr>
              <w:t xml:space="preserve">      </w:t>
            </w:r>
            <w:r w:rsidRPr="00770158">
              <w:rPr>
                <w:rFonts w:ascii="Century Gothic" w:hAnsi="Century Gothic" w:cs="Arial"/>
                <w:color w:val="000080"/>
                <w:sz w:val="22"/>
                <w:szCs w:val="22"/>
              </w:rPr>
              <w:t xml:space="preserve">e-mail:  </w:t>
            </w:r>
            <w:r w:rsidRPr="00770158">
              <w:rPr>
                <w:rFonts w:ascii="Century Gothic" w:hAnsi="Century Gothic"/>
                <w:color w:val="000080"/>
              </w:rPr>
              <w:t>cristiano.fava@univr.it.</w:t>
            </w:r>
          </w:p>
          <w:p w:rsidR="00876DC4" w:rsidRDefault="00876DC4" w:rsidP="00427DD9">
            <w:pPr>
              <w:widowControl w:val="0"/>
              <w:jc w:val="both"/>
              <w:rPr>
                <w:rFonts w:ascii="Century Gothic" w:hAnsi="Century Gothic" w:cs="Arial"/>
                <w:color w:val="000080"/>
              </w:rPr>
            </w:pPr>
          </w:p>
          <w:p w:rsidR="00876DC4" w:rsidRPr="00E42448" w:rsidRDefault="00876DC4" w:rsidP="00427DD9">
            <w:pPr>
              <w:widowControl w:val="0"/>
              <w:jc w:val="both"/>
              <w:rPr>
                <w:rFonts w:ascii="Century Gothic" w:hAnsi="Century Gothic" w:cs="Arial"/>
                <w:color w:val="000080"/>
              </w:rPr>
            </w:pPr>
            <w:r>
              <w:rPr>
                <w:rFonts w:ascii="Century Gothic" w:hAnsi="Century Gothic" w:cs="Arial"/>
                <w:color w:val="000080"/>
                <w:sz w:val="22"/>
                <w:szCs w:val="22"/>
              </w:rPr>
              <w:t>Ricevimento</w:t>
            </w:r>
            <w:r w:rsidRPr="009F2048">
              <w:rPr>
                <w:rFonts w:ascii="Century Gothic" w:hAnsi="Century Gothic" w:cs="Arial"/>
                <w:color w:val="000080"/>
                <w:sz w:val="22"/>
                <w:szCs w:val="22"/>
              </w:rPr>
              <w:t xml:space="preserve">: </w:t>
            </w:r>
            <w:r w:rsidRPr="00E42448">
              <w:rPr>
                <w:rFonts w:ascii="Century Gothic" w:hAnsi="Century Gothic" w:cs="Arial"/>
                <w:color w:val="000080"/>
                <w:sz w:val="22"/>
                <w:szCs w:val="22"/>
              </w:rPr>
              <w:t>previo appuntamento</w:t>
            </w:r>
            <w:r>
              <w:rPr>
                <w:rFonts w:ascii="Century Gothic" w:hAnsi="Century Gothic" w:cs="Arial"/>
                <w:color w:val="000080"/>
                <w:sz w:val="22"/>
                <w:szCs w:val="22"/>
              </w:rPr>
              <w:t xml:space="preserve"> fissato telefonicamente o per e-mail</w:t>
            </w:r>
          </w:p>
          <w:p w:rsidR="00876DC4" w:rsidRPr="009F2048" w:rsidRDefault="00876DC4" w:rsidP="00427DD9">
            <w:pPr>
              <w:ind w:left="220" w:right="428" w:hanging="200"/>
              <w:jc w:val="both"/>
              <w:rPr>
                <w:rFonts w:ascii="Century Gothic" w:hAnsi="Century Gothic" w:cs="Arial"/>
                <w:color w:val="000080"/>
              </w:rPr>
            </w:pPr>
          </w:p>
        </w:tc>
      </w:tr>
    </w:tbl>
    <w:p w:rsidR="00876DC4" w:rsidRDefault="00876DC4">
      <w:pPr>
        <w:widowControl w:val="0"/>
        <w:spacing w:before="100" w:after="100"/>
        <w:rPr>
          <w:rFonts w:ascii="Century Gothic" w:hAnsi="Century Gothic" w:cs="Arial"/>
          <w:color w:val="000080"/>
          <w:sz w:val="22"/>
          <w:szCs w:val="22"/>
        </w:rPr>
      </w:pPr>
    </w:p>
    <w:p w:rsidR="00876DC4" w:rsidRDefault="00876DC4">
      <w:pPr>
        <w:rPr>
          <w:rFonts w:ascii="Century Gothic" w:hAnsi="Century Gothic" w:cs="Arial"/>
          <w:color w:val="000080"/>
          <w:sz w:val="22"/>
          <w:szCs w:val="22"/>
        </w:rPr>
      </w:pPr>
    </w:p>
    <w:sectPr w:rsidR="00876DC4" w:rsidSect="007C4CCC">
      <w:headerReference w:type="default" r:id="rId7"/>
      <w:footerReference w:type="default" r:id="rId8"/>
      <w:pgSz w:w="12240" w:h="15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DC4" w:rsidRDefault="00876DC4" w:rsidP="007C4CCC">
      <w:r>
        <w:separator/>
      </w:r>
    </w:p>
  </w:endnote>
  <w:endnote w:type="continuationSeparator" w:id="0">
    <w:p w:rsidR="00876DC4" w:rsidRDefault="00876DC4" w:rsidP="007C4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Calligraphy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DC4" w:rsidRDefault="00876DC4">
    <w:pPr>
      <w:pStyle w:val="Footer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-237.65pt;margin-top:.05pt;width:6.05pt;height:13.8pt;z-index:251657216;visibility:visible;mso-wrap-style:none;mso-position-horizontal:right;mso-position-horizontal-relative:margin" filled="f" stroked="f">
          <v:textbox style="mso-rotate-with-shape:t;mso-fit-shape-to-text:t" inset="0,0,0,0">
            <w:txbxContent>
              <w:p w:rsidR="00876DC4" w:rsidRDefault="00876DC4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3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DC4" w:rsidRDefault="00876DC4" w:rsidP="007C4CCC">
      <w:r w:rsidRPr="007C4CCC">
        <w:rPr>
          <w:color w:val="000000"/>
        </w:rPr>
        <w:separator/>
      </w:r>
    </w:p>
  </w:footnote>
  <w:footnote w:type="continuationSeparator" w:id="0">
    <w:p w:rsidR="00876DC4" w:rsidRDefault="00876DC4" w:rsidP="007C4C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DC4" w:rsidRPr="004416D7" w:rsidRDefault="00876DC4" w:rsidP="00BC517C">
    <w:pPr>
      <w:jc w:val="center"/>
      <w:rPr>
        <w:rFonts w:ascii="Maiandra GD" w:hAnsi="Maiandra GD" w:cs="Arial"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14.05pt;width:54pt;height:48.9pt;z-index:251658240">
          <v:imagedata r:id="rId1" o:title=""/>
          <w10:wrap type="square" side="right"/>
        </v:shape>
        <o:OLEObject Type="Embed" ProgID="MSPhotoEd.3" ShapeID="_x0000_s2049" DrawAspect="Content" ObjectID="_1416301384" r:id="rId2"/>
      </w:pict>
    </w:r>
    <w:r w:rsidRPr="004416D7">
      <w:rPr>
        <w:rFonts w:ascii="Maiandra GD" w:hAnsi="Maiandra GD" w:cs="Arial"/>
        <w:sz w:val="28"/>
        <w:szCs w:val="28"/>
      </w:rPr>
      <w:t>Università degli Studi di Verona</w:t>
    </w:r>
  </w:p>
  <w:p w:rsidR="00876DC4" w:rsidRDefault="00876DC4" w:rsidP="00BC517C">
    <w:pPr>
      <w:jc w:val="center"/>
      <w:rPr>
        <w:rFonts w:ascii="Maiandra GD" w:hAnsi="Maiandra GD" w:cs="Arial"/>
        <w:sz w:val="28"/>
        <w:szCs w:val="28"/>
      </w:rPr>
    </w:pPr>
    <w:r w:rsidRPr="004416D7">
      <w:rPr>
        <w:rFonts w:ascii="Maiandra GD" w:hAnsi="Maiandra GD" w:cs="Arial"/>
        <w:sz w:val="28"/>
        <w:szCs w:val="28"/>
      </w:rPr>
      <w:t xml:space="preserve">Corso di Laurea in </w:t>
    </w:r>
    <w:r>
      <w:rPr>
        <w:rFonts w:ascii="Maiandra GD" w:hAnsi="Maiandra GD" w:cs="Arial"/>
        <w:sz w:val="28"/>
        <w:szCs w:val="28"/>
      </w:rPr>
      <w:t xml:space="preserve">Tecniche di Laboratorio Biomedico </w:t>
    </w:r>
  </w:p>
  <w:p w:rsidR="00876DC4" w:rsidRPr="004416D7" w:rsidRDefault="00876DC4" w:rsidP="00BC517C">
    <w:pPr>
      <w:jc w:val="center"/>
      <w:rPr>
        <w:rFonts w:ascii="Maiandra GD" w:hAnsi="Maiandra GD" w:cs="Arial"/>
        <w:sz w:val="28"/>
        <w:szCs w:val="28"/>
      </w:rPr>
    </w:pPr>
    <w:r>
      <w:rPr>
        <w:rFonts w:ascii="Maiandra GD" w:hAnsi="Maiandra GD" w:cs="Arial"/>
        <w:sz w:val="28"/>
        <w:szCs w:val="28"/>
      </w:rPr>
      <w:t xml:space="preserve">Polo di Rovereto </w:t>
    </w:r>
  </w:p>
  <w:p w:rsidR="00876DC4" w:rsidRPr="00BC517C" w:rsidRDefault="00876DC4" w:rsidP="00BC517C">
    <w:pPr>
      <w:jc w:val="center"/>
      <w:rPr>
        <w:rFonts w:ascii="Maiandra GD" w:hAnsi="Maiandra GD" w:cs="Arial"/>
        <w:sz w:val="28"/>
        <w:szCs w:val="28"/>
      </w:rPr>
    </w:pPr>
    <w:r w:rsidRPr="004416D7">
      <w:rPr>
        <w:rFonts w:ascii="Maiandra GD" w:hAnsi="Maiandra GD" w:cs="Arial"/>
        <w:sz w:val="28"/>
        <w:szCs w:val="28"/>
      </w:rPr>
      <w:t xml:space="preserve">Diploma </w:t>
    </w:r>
    <w:r w:rsidRPr="00BC517C">
      <w:rPr>
        <w:rFonts w:ascii="Maiandra GD" w:hAnsi="Maiandra GD" w:cs="Arial"/>
        <w:sz w:val="28"/>
        <w:szCs w:val="28"/>
      </w:rPr>
      <w:t>supplement</w:t>
    </w:r>
  </w:p>
  <w:p w:rsidR="00876DC4" w:rsidRPr="00E65BB0" w:rsidRDefault="00876DC4" w:rsidP="00BC517C">
    <w:pPr>
      <w:jc w:val="center"/>
      <w:rPr>
        <w:rFonts w:ascii="Lucida Calligraphy" w:hAnsi="Lucida Calligraphy"/>
        <w:i/>
      </w:rPr>
    </w:pPr>
    <w:r w:rsidRPr="004416D7">
      <w:rPr>
        <w:rFonts w:ascii="Maiandra GD" w:hAnsi="Maiandra GD" w:cs="Arial"/>
        <w:sz w:val="28"/>
        <w:szCs w:val="28"/>
      </w:rPr>
      <w:t xml:space="preserve"> </w:t>
    </w:r>
    <w:r w:rsidRPr="004416D7">
      <w:rPr>
        <w:rFonts w:ascii="Trebuchet MS" w:hAnsi="Trebuchet MS"/>
      </w:rPr>
      <w:t>A.A. 2012/13</w:t>
    </w:r>
  </w:p>
  <w:p w:rsidR="00876DC4" w:rsidRDefault="00876DC4" w:rsidP="00BC517C">
    <w:pPr>
      <w:pStyle w:val="Header"/>
      <w:rPr>
        <w:rFonts w:ascii="Lucida Calligraphy" w:hAnsi="Lucida Calligraphy"/>
      </w:rPr>
    </w:pPr>
  </w:p>
  <w:p w:rsidR="00876DC4" w:rsidRDefault="00876DC4" w:rsidP="00BC517C">
    <w:pPr>
      <w:pStyle w:val="Header"/>
      <w:pBdr>
        <w:top w:val="single" w:sz="4" w:space="1" w:color="auto"/>
      </w:pBdr>
      <w:rPr>
        <w:rFonts w:ascii="Lucida Calligraphy" w:hAnsi="Lucida Calligraphy"/>
      </w:rPr>
    </w:pPr>
  </w:p>
  <w:p w:rsidR="00876DC4" w:rsidRPr="00BC517C" w:rsidRDefault="00876DC4" w:rsidP="00BC517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1CF9"/>
    <w:multiLevelType w:val="hybridMultilevel"/>
    <w:tmpl w:val="8054A774"/>
    <w:lvl w:ilvl="0" w:tplc="20D6F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73796"/>
    <w:multiLevelType w:val="multilevel"/>
    <w:tmpl w:val="4E242B42"/>
    <w:lvl w:ilvl="0">
      <w:numFmt w:val="bullet"/>
      <w:lvlText w:val="-"/>
      <w:lvlJc w:val="left"/>
      <w:pPr>
        <w:ind w:left="720" w:hanging="360"/>
      </w:pPr>
      <w:rPr>
        <w:rFonts w:ascii="Maiandra GD" w:eastAsia="Times New Roman" w:hAnsi="Maiandra GD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83B7085"/>
    <w:multiLevelType w:val="hybridMultilevel"/>
    <w:tmpl w:val="CF96480C"/>
    <w:lvl w:ilvl="0" w:tplc="20D6F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90C67"/>
    <w:multiLevelType w:val="hybridMultilevel"/>
    <w:tmpl w:val="1542DA36"/>
    <w:lvl w:ilvl="0" w:tplc="20D6F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E0348"/>
    <w:multiLevelType w:val="hybridMultilevel"/>
    <w:tmpl w:val="13D8A804"/>
    <w:lvl w:ilvl="0" w:tplc="20D6F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162BA"/>
    <w:multiLevelType w:val="hybridMultilevel"/>
    <w:tmpl w:val="B024EB58"/>
    <w:lvl w:ilvl="0" w:tplc="20D6F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FC2666"/>
    <w:multiLevelType w:val="hybridMultilevel"/>
    <w:tmpl w:val="BF78E462"/>
    <w:lvl w:ilvl="0" w:tplc="20D6F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B9782A"/>
    <w:multiLevelType w:val="hybridMultilevel"/>
    <w:tmpl w:val="81028BFA"/>
    <w:lvl w:ilvl="0" w:tplc="9D9E2C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555DAE"/>
    <w:multiLevelType w:val="multilevel"/>
    <w:tmpl w:val="6BD8A9C8"/>
    <w:lvl w:ilvl="0">
      <w:numFmt w:val="bullet"/>
      <w:lvlText w:val="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6DCD1826"/>
    <w:multiLevelType w:val="hybridMultilevel"/>
    <w:tmpl w:val="354CF4F6"/>
    <w:lvl w:ilvl="0" w:tplc="20D6F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9"/>
  </w:num>
  <w:num w:numId="7">
    <w:abstractNumId w:val="0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4CCC"/>
    <w:rsid w:val="00035D5E"/>
    <w:rsid w:val="00046CC6"/>
    <w:rsid w:val="000D25C3"/>
    <w:rsid w:val="0017409F"/>
    <w:rsid w:val="001C1479"/>
    <w:rsid w:val="00243CBD"/>
    <w:rsid w:val="00274FDE"/>
    <w:rsid w:val="002B0883"/>
    <w:rsid w:val="00356D71"/>
    <w:rsid w:val="003C2490"/>
    <w:rsid w:val="003C68E6"/>
    <w:rsid w:val="0040218C"/>
    <w:rsid w:val="00405F0A"/>
    <w:rsid w:val="00427DD9"/>
    <w:rsid w:val="004416D7"/>
    <w:rsid w:val="005A6C18"/>
    <w:rsid w:val="005F5E42"/>
    <w:rsid w:val="00714E63"/>
    <w:rsid w:val="00770158"/>
    <w:rsid w:val="007B780D"/>
    <w:rsid w:val="007C4CCC"/>
    <w:rsid w:val="00876DC4"/>
    <w:rsid w:val="00995F2A"/>
    <w:rsid w:val="009F2048"/>
    <w:rsid w:val="00A141BD"/>
    <w:rsid w:val="00AA029B"/>
    <w:rsid w:val="00AE3278"/>
    <w:rsid w:val="00B01810"/>
    <w:rsid w:val="00B438EC"/>
    <w:rsid w:val="00BC313F"/>
    <w:rsid w:val="00BC517C"/>
    <w:rsid w:val="00BC5929"/>
    <w:rsid w:val="00C913BA"/>
    <w:rsid w:val="00CF1EB2"/>
    <w:rsid w:val="00E42448"/>
    <w:rsid w:val="00E65BB0"/>
    <w:rsid w:val="00EA40D2"/>
    <w:rsid w:val="00EB3467"/>
    <w:rsid w:val="00F93E06"/>
    <w:rsid w:val="00FA1A80"/>
    <w:rsid w:val="00FB3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CCC"/>
    <w:pPr>
      <w:suppressAutoHyphens/>
      <w:autoSpaceDN w:val="0"/>
      <w:textAlignment w:val="baseline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4CCC"/>
    <w:pPr>
      <w:keepNext/>
      <w:outlineLvl w:val="0"/>
    </w:pPr>
    <w:rPr>
      <w:rFonts w:ascii="Arial" w:hAnsi="Arial" w:cs="Arial"/>
      <w:b/>
      <w:bCs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C4CC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</w:rPr>
  </w:style>
  <w:style w:type="character" w:styleId="Hyperlink">
    <w:name w:val="Hyperlink"/>
    <w:basedOn w:val="DefaultParagraphFont"/>
    <w:uiPriority w:val="99"/>
    <w:rsid w:val="007C4CCC"/>
    <w:rPr>
      <w:rFonts w:cs="Times New Roman"/>
      <w:color w:val="0000FF"/>
      <w:u w:val="single"/>
    </w:rPr>
  </w:style>
  <w:style w:type="paragraph" w:customStyle="1" w:styleId="StileTitolo9Centrato">
    <w:name w:val="Stile Titolo 9 + Centrato"/>
    <w:basedOn w:val="Heading9"/>
    <w:uiPriority w:val="99"/>
    <w:rsid w:val="007C4CCC"/>
    <w:pPr>
      <w:jc w:val="center"/>
    </w:pPr>
    <w:rPr>
      <w:rFonts w:cs="Times New Roman"/>
      <w:b/>
      <w:bCs/>
      <w:sz w:val="44"/>
      <w:szCs w:val="20"/>
    </w:rPr>
  </w:style>
  <w:style w:type="paragraph" w:styleId="FootnoteText">
    <w:name w:val="footnote text"/>
    <w:basedOn w:val="Normal"/>
    <w:link w:val="FootnoteTextChar"/>
    <w:uiPriority w:val="99"/>
    <w:rsid w:val="007C4C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7C4CCC"/>
    <w:rPr>
      <w:rFonts w:cs="Times New Roman"/>
      <w:position w:val="0"/>
      <w:vertAlign w:val="superscript"/>
    </w:rPr>
  </w:style>
  <w:style w:type="paragraph" w:styleId="Header">
    <w:name w:val="header"/>
    <w:basedOn w:val="Normal"/>
    <w:link w:val="HeaderChar"/>
    <w:uiPriority w:val="99"/>
    <w:rsid w:val="007C4CC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C4CC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C4CC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C4CC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7C4C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styleId="PageNumber">
    <w:name w:val="page number"/>
    <w:basedOn w:val="DefaultParagraphFont"/>
    <w:uiPriority w:val="99"/>
    <w:rsid w:val="007C4CCC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7C4CCC"/>
    <w:rPr>
      <w:rFonts w:cs="Times New Roman"/>
      <w:color w:val="800080"/>
      <w:u w:val="single"/>
    </w:rPr>
  </w:style>
  <w:style w:type="paragraph" w:customStyle="1" w:styleId="Header1">
    <w:name w:val="Header1"/>
    <w:basedOn w:val="Normal"/>
    <w:uiPriority w:val="99"/>
    <w:rsid w:val="007C4CCC"/>
    <w:pPr>
      <w:tabs>
        <w:tab w:val="center" w:pos="4703"/>
        <w:tab w:val="right" w:pos="9406"/>
      </w:tabs>
      <w:suppressAutoHyphens w:val="0"/>
    </w:pPr>
  </w:style>
  <w:style w:type="paragraph" w:customStyle="1" w:styleId="Footer1">
    <w:name w:val="Footer1"/>
    <w:basedOn w:val="Normal"/>
    <w:uiPriority w:val="99"/>
    <w:rsid w:val="007C4CCC"/>
    <w:pPr>
      <w:tabs>
        <w:tab w:val="center" w:pos="4703"/>
        <w:tab w:val="right" w:pos="9406"/>
      </w:tabs>
      <w:suppressAutoHyphens w:val="0"/>
    </w:pPr>
  </w:style>
  <w:style w:type="paragraph" w:styleId="ListParagraph">
    <w:name w:val="List Paragraph"/>
    <w:basedOn w:val="Normal"/>
    <w:uiPriority w:val="99"/>
    <w:qFormat/>
    <w:rsid w:val="007701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3</Pages>
  <Words>612</Words>
  <Characters>3489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Corsi di Insegnamento</dc:title>
  <dc:subject/>
  <dc:creator>.</dc:creator>
  <cp:keywords/>
  <dc:description/>
  <cp:lastModifiedBy>532531</cp:lastModifiedBy>
  <cp:revision>14</cp:revision>
  <cp:lastPrinted>2012-12-04T17:29:00Z</cp:lastPrinted>
  <dcterms:created xsi:type="dcterms:W3CDTF">2012-08-02T14:11:00Z</dcterms:created>
  <dcterms:modified xsi:type="dcterms:W3CDTF">2012-12-06T11:17:00Z</dcterms:modified>
</cp:coreProperties>
</file>