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MISURE DI FREQUENZA DI MALATTIA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1a) L'incidenza è sempre uguale al numero di nuovi casi diviso la somma dei periodi di osservazione.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Al NUMERATORE vanno inclusi solo i 510 nuovi casi osservati durante il 1989, mentre non vanno considerati i 970 pazienti che, essendo già affetti da TBC al 1 gennaio 1989, si erano verosimilmente ammalati negli anni precedenti.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 xml:space="preserve">DENOMINATORE: non avendo a disposizione i singoli periodi di osservazione, facciamo un calcolo approssimato: moltiplichiamo la popolazione </w:t>
      </w:r>
      <w:r w:rsidRPr="00A913FF">
        <w:rPr>
          <w:sz w:val="32"/>
          <w:szCs w:val="32"/>
        </w:rPr>
        <w:t xml:space="preserve">media nel </w:t>
      </w:r>
      <w:r w:rsidRPr="00A913FF">
        <w:rPr>
          <w:sz w:val="32"/>
          <w:szCs w:val="32"/>
        </w:rPr>
        <w:t>1989 per 1 anno e otteniamo 100000 persone*anno.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RAPPORTO: l’incidenza è pertanto 510 / 100 000 = 5,1/1000 persone*anno.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Questo procedimento può essere migliorato: il denominatore può essere calcolato in modo più rigoroso: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a) All’INIZIO del periodo le persone a rischio di contrarre la TBC erano 100 000 - 970 = 99030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b) Alla FINE del periodo le persone ancora a rischio erano 100000 - 970 - 510 + 27 = 98547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c) La POPOLAZIONE MEDIA a rischio durante l’anno era (99030 + 98547) / 2 = 98788,5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Pertanto il denominatore è pari a 98788,5 persone * 1 anno = 98788,5 persone*anno.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Quindi l'incidenza è pari a 510 / 98788,5 = 5,16 / 1000 persone*anno.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Si può apprezzare che questa ulteriore correzione non modifica sostanzialmente la stima dell'incidenza, che passa da 5,1/1000 persone*anno a 5,16/1000 persone*anno.</w:t>
      </w:r>
    </w:p>
    <w:p w:rsidR="00253ECD" w:rsidRDefault="00253ECD" w:rsidP="00253ECD">
      <w:pPr>
        <w:ind w:left="284" w:hanging="284"/>
        <w:jc w:val="both"/>
        <w:rPr>
          <w:sz w:val="32"/>
          <w:szCs w:val="32"/>
        </w:rPr>
      </w:pPr>
    </w:p>
    <w:p w:rsidR="00A913FF" w:rsidRPr="00A913FF" w:rsidRDefault="00A913FF" w:rsidP="00253ECD">
      <w:pPr>
        <w:ind w:left="284" w:hanging="284"/>
        <w:jc w:val="both"/>
        <w:rPr>
          <w:sz w:val="32"/>
          <w:szCs w:val="32"/>
        </w:rPr>
      </w:pP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1b) La prevalenza è una frazione che ha al numeratore il numero degli ammalati e al denominatore la numerosità complessiva della popolazione (</w:t>
      </w:r>
      <w:proofErr w:type="spellStart"/>
      <w:r w:rsidRPr="00A913FF">
        <w:rPr>
          <w:sz w:val="32"/>
          <w:szCs w:val="32"/>
        </w:rPr>
        <w:t>sani+ammalati</w:t>
      </w:r>
      <w:proofErr w:type="spellEnd"/>
      <w:r w:rsidRPr="00A913FF">
        <w:rPr>
          <w:sz w:val="32"/>
          <w:szCs w:val="32"/>
        </w:rPr>
        <w:t>).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N.B.: Una persona affetta da TBC non è più a rischio di ammalarsi mentre è a rischio di essere ammalata. Va quindi el</w:t>
      </w:r>
      <w:r w:rsidR="00A913FF" w:rsidRPr="00A913FF">
        <w:rPr>
          <w:sz w:val="32"/>
          <w:szCs w:val="32"/>
        </w:rPr>
        <w:t>iminata</w:t>
      </w:r>
      <w:r w:rsidRPr="00A913FF">
        <w:rPr>
          <w:sz w:val="32"/>
          <w:szCs w:val="32"/>
        </w:rPr>
        <w:t xml:space="preserve"> dal denominatore nel calcolo dell'incidenza, quando considero la malattia come evento, in quanto uno che è già ammalato non </w:t>
      </w:r>
      <w:r w:rsidR="00A913FF" w:rsidRPr="00A913FF">
        <w:rPr>
          <w:sz w:val="32"/>
          <w:szCs w:val="32"/>
        </w:rPr>
        <w:t>può ammalarsi. Va invece inclusa</w:t>
      </w:r>
      <w:r w:rsidRPr="00A913FF">
        <w:rPr>
          <w:sz w:val="32"/>
          <w:szCs w:val="32"/>
        </w:rPr>
        <w:t xml:space="preserve"> nel denominatore nel calcolo della prevalenza, quando considero la malattia come stato, in quanto tutte gli appartenenti alla popolazione hanno una certa probabilità di rientrare fra le persone ammalate.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La prevalenza ‘puntiforme’ di TBC all' 1.1.1989 è 970/100000 = 0,0097 = 0,97%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lastRenderedPageBreak/>
        <w:t>1c) La prevalenza ‘annuale’ (</w:t>
      </w:r>
      <w:proofErr w:type="spellStart"/>
      <w:r w:rsidRPr="00A913FF">
        <w:rPr>
          <w:sz w:val="32"/>
          <w:szCs w:val="32"/>
        </w:rPr>
        <w:t>one-year</w:t>
      </w:r>
      <w:proofErr w:type="spellEnd"/>
      <w:r w:rsidRPr="00A913FF">
        <w:rPr>
          <w:sz w:val="32"/>
          <w:szCs w:val="32"/>
        </w:rPr>
        <w:t xml:space="preserve"> </w:t>
      </w:r>
      <w:proofErr w:type="spellStart"/>
      <w:r w:rsidRPr="00A913FF">
        <w:rPr>
          <w:sz w:val="32"/>
          <w:szCs w:val="32"/>
        </w:rPr>
        <w:t>prevalence</w:t>
      </w:r>
      <w:proofErr w:type="spellEnd"/>
      <w:r w:rsidRPr="00A913FF">
        <w:rPr>
          <w:sz w:val="32"/>
          <w:szCs w:val="32"/>
        </w:rPr>
        <w:t>) di TBC nel 1989 è (970+510)/ 100 000 = 1480/100 000 =0,0148 = 1,48%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2) La durata media di una malattia cronica è pari all’incirca alla prevalenza diviso l’incidenza. Pertanto la sclerosi multipla ha una durata media di (55/100000) / (5/100000 persone*anno), ovvero 11 anni, mentre la malattia dei motoneuroni ha una durata media di (7/100000) / (1,7/100000 persone*anno), ovvero 4,1 anni.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</w:p>
    <w:p w:rsidR="00253ECD" w:rsidRDefault="00253ECD" w:rsidP="00253ECD">
      <w:pPr>
        <w:ind w:left="284" w:hanging="284"/>
        <w:jc w:val="both"/>
        <w:rPr>
          <w:sz w:val="32"/>
          <w:szCs w:val="32"/>
        </w:rPr>
      </w:pPr>
    </w:p>
    <w:p w:rsidR="00A913FF" w:rsidRPr="00A913FF" w:rsidRDefault="00A913FF" w:rsidP="00253ECD">
      <w:pPr>
        <w:ind w:left="284" w:hanging="284"/>
        <w:jc w:val="both"/>
        <w:rPr>
          <w:sz w:val="32"/>
          <w:szCs w:val="32"/>
        </w:rPr>
      </w:pP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3a) La prevalenza del diabete mellito è maggiore nel quartiere del centro storico (315/4057 = 0,0778 = 7,8%) rispetto al quartiere di periferia (142/7028 = 0,0202 = 2,0%).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3b) Calcoliamo la prevalenza del diabete stratificando per età: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457"/>
        <w:gridCol w:w="3470"/>
        <w:gridCol w:w="3471"/>
      </w:tblGrid>
      <w:tr w:rsidR="00A913FF" w:rsidRPr="00A913FF" w:rsidTr="00A913FF">
        <w:tc>
          <w:tcPr>
            <w:tcW w:w="3457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70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  <w:r w:rsidRPr="00A913FF">
              <w:rPr>
                <w:sz w:val="32"/>
                <w:szCs w:val="32"/>
              </w:rPr>
              <w:t>Centro storico</w:t>
            </w:r>
          </w:p>
        </w:tc>
        <w:tc>
          <w:tcPr>
            <w:tcW w:w="3471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  <w:r w:rsidRPr="00A913FF">
              <w:rPr>
                <w:sz w:val="32"/>
                <w:szCs w:val="32"/>
              </w:rPr>
              <w:t>Periferia</w:t>
            </w:r>
          </w:p>
        </w:tc>
      </w:tr>
      <w:tr w:rsidR="00A913FF" w:rsidRPr="00A913FF" w:rsidTr="00A913FF">
        <w:tc>
          <w:tcPr>
            <w:tcW w:w="3457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  <w:r w:rsidRPr="00A913FF">
              <w:rPr>
                <w:sz w:val="32"/>
                <w:szCs w:val="32"/>
              </w:rPr>
              <w:t>&lt;=65 anni</w:t>
            </w:r>
          </w:p>
        </w:tc>
        <w:tc>
          <w:tcPr>
            <w:tcW w:w="3470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  <w:r w:rsidRPr="00A913FF">
              <w:rPr>
                <w:sz w:val="32"/>
                <w:szCs w:val="32"/>
              </w:rPr>
              <w:t>5/440 = 1,2%</w:t>
            </w:r>
          </w:p>
        </w:tc>
        <w:tc>
          <w:tcPr>
            <w:tcW w:w="3471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  <w:r w:rsidRPr="00A913FF">
              <w:rPr>
                <w:sz w:val="32"/>
                <w:szCs w:val="32"/>
              </w:rPr>
              <w:t>70/6311 = 1,1%</w:t>
            </w:r>
          </w:p>
        </w:tc>
      </w:tr>
      <w:tr w:rsidR="00A913FF" w:rsidRPr="00A913FF" w:rsidTr="00A913FF">
        <w:tc>
          <w:tcPr>
            <w:tcW w:w="3457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  <w:r w:rsidRPr="00A913FF">
              <w:rPr>
                <w:sz w:val="32"/>
                <w:szCs w:val="32"/>
              </w:rPr>
              <w:t>&gt;65 anni</w:t>
            </w:r>
          </w:p>
        </w:tc>
        <w:tc>
          <w:tcPr>
            <w:tcW w:w="3470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  <w:r w:rsidRPr="00A913FF">
              <w:rPr>
                <w:sz w:val="32"/>
                <w:szCs w:val="32"/>
              </w:rPr>
              <w:t>310/3617 = 8,6%</w:t>
            </w:r>
          </w:p>
        </w:tc>
        <w:tc>
          <w:tcPr>
            <w:tcW w:w="3471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  <w:r w:rsidRPr="00A913FF">
              <w:rPr>
                <w:sz w:val="32"/>
                <w:szCs w:val="32"/>
              </w:rPr>
              <w:t>72/717 = 10,0%</w:t>
            </w:r>
          </w:p>
        </w:tc>
      </w:tr>
      <w:tr w:rsidR="00A913FF" w:rsidRPr="00A913FF" w:rsidTr="00A913FF">
        <w:tc>
          <w:tcPr>
            <w:tcW w:w="3457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  <w:r w:rsidRPr="00A913FF">
              <w:rPr>
                <w:sz w:val="32"/>
                <w:szCs w:val="32"/>
              </w:rPr>
              <w:t>Totale</w:t>
            </w:r>
          </w:p>
        </w:tc>
        <w:tc>
          <w:tcPr>
            <w:tcW w:w="3470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  <w:r w:rsidRPr="00A913FF">
              <w:rPr>
                <w:sz w:val="32"/>
                <w:szCs w:val="32"/>
              </w:rPr>
              <w:t>315/4057 = 7,8%</w:t>
            </w:r>
          </w:p>
        </w:tc>
        <w:tc>
          <w:tcPr>
            <w:tcW w:w="3471" w:type="dxa"/>
          </w:tcPr>
          <w:p w:rsidR="00A913FF" w:rsidRPr="00A913FF" w:rsidRDefault="00A913FF" w:rsidP="00A913FF">
            <w:pPr>
              <w:jc w:val="center"/>
              <w:rPr>
                <w:sz w:val="32"/>
                <w:szCs w:val="32"/>
              </w:rPr>
            </w:pPr>
            <w:r w:rsidRPr="00A913FF">
              <w:rPr>
                <w:sz w:val="32"/>
                <w:szCs w:val="32"/>
              </w:rPr>
              <w:t>142/7028 = 2,0%</w:t>
            </w:r>
          </w:p>
        </w:tc>
      </w:tr>
    </w:tbl>
    <w:p w:rsidR="00A913FF" w:rsidRPr="00A913FF" w:rsidRDefault="00A913FF" w:rsidP="00A913FF">
      <w:pPr>
        <w:tabs>
          <w:tab w:val="left" w:pos="2550"/>
        </w:tabs>
        <w:ind w:left="284" w:hanging="284"/>
        <w:jc w:val="both"/>
        <w:rPr>
          <w:sz w:val="32"/>
          <w:szCs w:val="32"/>
        </w:rPr>
      </w:pP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L’età è un confondente della relazione di occorrenza tra area di residenza e prevalenza del diabete: 1) nel centro storico la popolazione residente è più anziana; 2) la prevalenza del diabete mellito è maggiore negli anziani; 3) per questo motivo anche la prevalenza del diabete è maggiore nel centro storico.</w:t>
      </w:r>
    </w:p>
    <w:p w:rsidR="00253ECD" w:rsidRPr="00A913FF" w:rsidRDefault="00253ECD" w:rsidP="00253ECD">
      <w:pPr>
        <w:ind w:left="284" w:hanging="284"/>
        <w:jc w:val="both"/>
        <w:rPr>
          <w:sz w:val="32"/>
          <w:szCs w:val="32"/>
        </w:rPr>
      </w:pPr>
      <w:r w:rsidRPr="00A913FF">
        <w:rPr>
          <w:sz w:val="32"/>
          <w:szCs w:val="32"/>
        </w:rPr>
        <w:t>Si possono pertanto escludere spiegazioni alternative, del tipo: “La popolazione del centro storico presenta una maggiore prevalenza di diabete perché è maggiormente esposta all’inquinamento o perché ha una dieta più ricca di grassi”.</w:t>
      </w:r>
    </w:p>
    <w:p w:rsidR="00253ECD" w:rsidRDefault="00253ECD" w:rsidP="00253ECD">
      <w:pPr>
        <w:ind w:left="284" w:hanging="284"/>
        <w:jc w:val="both"/>
        <w:rPr>
          <w:sz w:val="32"/>
          <w:szCs w:val="32"/>
        </w:rPr>
      </w:pPr>
    </w:p>
    <w:p w:rsidR="00A913FF" w:rsidRDefault="00A913FF" w:rsidP="00253ECD">
      <w:pPr>
        <w:ind w:left="284" w:hanging="284"/>
        <w:jc w:val="both"/>
        <w:rPr>
          <w:sz w:val="32"/>
          <w:szCs w:val="32"/>
        </w:rPr>
      </w:pPr>
    </w:p>
    <w:p w:rsidR="00A913FF" w:rsidRDefault="00A913FF" w:rsidP="00253ECD">
      <w:pPr>
        <w:ind w:left="284" w:hanging="284"/>
        <w:jc w:val="both"/>
        <w:rPr>
          <w:sz w:val="32"/>
          <w:szCs w:val="32"/>
        </w:rPr>
      </w:pPr>
    </w:p>
    <w:p w:rsidR="00A913FF" w:rsidRDefault="00A913FF" w:rsidP="00253ECD">
      <w:pPr>
        <w:ind w:left="284" w:hanging="284"/>
        <w:jc w:val="both"/>
        <w:rPr>
          <w:sz w:val="32"/>
          <w:szCs w:val="32"/>
        </w:rPr>
      </w:pPr>
    </w:p>
    <w:p w:rsidR="00A913FF" w:rsidRDefault="00A913FF" w:rsidP="00253ECD">
      <w:pPr>
        <w:ind w:left="284" w:hanging="284"/>
        <w:jc w:val="both"/>
        <w:rPr>
          <w:sz w:val="32"/>
          <w:szCs w:val="32"/>
        </w:rPr>
      </w:pPr>
    </w:p>
    <w:p w:rsidR="00A913FF" w:rsidRDefault="00A913FF" w:rsidP="00253ECD">
      <w:pPr>
        <w:ind w:left="284" w:hanging="284"/>
        <w:jc w:val="both"/>
        <w:rPr>
          <w:sz w:val="32"/>
          <w:szCs w:val="32"/>
        </w:rPr>
      </w:pPr>
    </w:p>
    <w:p w:rsidR="00A913FF" w:rsidRDefault="00A913FF" w:rsidP="00253ECD">
      <w:pPr>
        <w:ind w:left="284" w:hanging="284"/>
        <w:jc w:val="both"/>
        <w:rPr>
          <w:sz w:val="32"/>
          <w:szCs w:val="32"/>
        </w:rPr>
      </w:pPr>
    </w:p>
    <w:p w:rsidR="00A913FF" w:rsidRDefault="00A913FF" w:rsidP="00253ECD">
      <w:pPr>
        <w:ind w:left="284" w:hanging="284"/>
        <w:jc w:val="both"/>
        <w:rPr>
          <w:sz w:val="32"/>
          <w:szCs w:val="32"/>
        </w:rPr>
      </w:pPr>
    </w:p>
    <w:p w:rsidR="00A913FF" w:rsidRPr="00A913FF" w:rsidRDefault="00A913FF" w:rsidP="00253ECD">
      <w:pPr>
        <w:ind w:left="284" w:hanging="284"/>
        <w:jc w:val="both"/>
        <w:rPr>
          <w:sz w:val="32"/>
          <w:szCs w:val="32"/>
        </w:rPr>
      </w:pPr>
    </w:p>
    <w:p w:rsidR="00253ECD" w:rsidRPr="00253ECD" w:rsidRDefault="00253ECD" w:rsidP="00253ECD">
      <w:pPr>
        <w:ind w:left="284" w:hanging="284"/>
        <w:jc w:val="both"/>
        <w:rPr>
          <w:b/>
          <w:sz w:val="32"/>
          <w:szCs w:val="32"/>
        </w:rPr>
      </w:pPr>
      <w:r w:rsidRPr="00253ECD">
        <w:rPr>
          <w:b/>
          <w:sz w:val="32"/>
          <w:szCs w:val="32"/>
        </w:rPr>
        <w:lastRenderedPageBreak/>
        <w:t>MISURE DI ASSOCIAZIONE</w:t>
      </w:r>
    </w:p>
    <w:p w:rsidR="00253ECD" w:rsidRPr="00253ECD" w:rsidRDefault="00253ECD" w:rsidP="00253ECD">
      <w:pPr>
        <w:ind w:left="284" w:hanging="284"/>
        <w:jc w:val="both"/>
        <w:rPr>
          <w:b/>
          <w:sz w:val="32"/>
          <w:szCs w:val="32"/>
        </w:rPr>
      </w:pPr>
    </w:p>
    <w:p w:rsidR="00253ECD" w:rsidRDefault="00253ECD" w:rsidP="00253ECD">
      <w:pPr>
        <w:pStyle w:val="Rientrocorpodeltesto2"/>
        <w:rPr>
          <w:sz w:val="32"/>
          <w:lang w:val="it-IT"/>
        </w:rPr>
      </w:pPr>
      <w:r>
        <w:rPr>
          <w:b/>
          <w:sz w:val="32"/>
          <w:lang w:val="it-IT"/>
        </w:rPr>
        <w:t xml:space="preserve">1a) </w:t>
      </w:r>
      <w:r>
        <w:rPr>
          <w:sz w:val="32"/>
          <w:lang w:val="it-IT"/>
        </w:rPr>
        <w:t>L’incidenza nei non-fumatori</w:t>
      </w:r>
      <w:r>
        <w:rPr>
          <w:sz w:val="32"/>
          <w:vertAlign w:val="subscript"/>
          <w:lang w:val="it-IT"/>
        </w:rPr>
        <w:t xml:space="preserve"> </w:t>
      </w:r>
      <w:r>
        <w:rPr>
          <w:sz w:val="32"/>
          <w:lang w:val="it-IT"/>
        </w:rPr>
        <w:t>vale 5/3500 persone*anno=1,429/1000 p.a.</w:t>
      </w:r>
    </w:p>
    <w:p w:rsidR="00253ECD" w:rsidRDefault="00253ECD" w:rsidP="00253ECD">
      <w:pPr>
        <w:pStyle w:val="Rientrocorpodeltesto2"/>
        <w:rPr>
          <w:sz w:val="32"/>
          <w:lang w:val="it-IT"/>
        </w:rPr>
      </w:pPr>
      <w:r>
        <w:rPr>
          <w:sz w:val="32"/>
          <w:lang w:val="it-IT"/>
        </w:rPr>
        <w:t>L’incidenza nei fumatori vale 13/2230 persone*anno = 5,830/1000 p.a.</w:t>
      </w:r>
    </w:p>
    <w:p w:rsidR="00253ECD" w:rsidRDefault="00253ECD" w:rsidP="00253ECD">
      <w:pPr>
        <w:pStyle w:val="Rientrocorpodeltesto2"/>
        <w:rPr>
          <w:sz w:val="32"/>
          <w:lang w:val="it-IT"/>
        </w:rPr>
      </w:pPr>
      <w:r>
        <w:rPr>
          <w:sz w:val="32"/>
          <w:lang w:val="it-IT"/>
        </w:rPr>
        <w:t>L’incidenza nell’intera popolazione vale 18/5730 persone*anno = 3,141/1000 persone*anno.</w:t>
      </w:r>
    </w:p>
    <w:p w:rsidR="00253ECD" w:rsidRDefault="00253ECD" w:rsidP="00253ECD">
      <w:pPr>
        <w:pStyle w:val="Rientrocorpodeltesto2"/>
        <w:rPr>
          <w:sz w:val="32"/>
          <w:lang w:val="it-IT"/>
        </w:rPr>
      </w:pPr>
    </w:p>
    <w:p w:rsidR="00253ECD" w:rsidRDefault="00253ECD" w:rsidP="00253ECD">
      <w:pPr>
        <w:pStyle w:val="Rientrocorpodeltesto2"/>
        <w:rPr>
          <w:sz w:val="32"/>
          <w:lang w:val="it-IT"/>
        </w:rPr>
      </w:pPr>
      <w:r>
        <w:rPr>
          <w:b/>
          <w:sz w:val="32"/>
          <w:lang w:val="it-IT"/>
        </w:rPr>
        <w:t>1b)</w:t>
      </w:r>
      <w:r>
        <w:rPr>
          <w:sz w:val="32"/>
          <w:lang w:val="it-IT"/>
        </w:rPr>
        <w:t xml:space="preserve"> Rischio attribuibile (RD) = incidenza nei fumatori – incidenza nei non-fumatori = 5,830/1000 p.a. – 1,429/1000 p.a. = 4,401/1000 persone*anno.</w:t>
      </w:r>
    </w:p>
    <w:p w:rsidR="00253ECD" w:rsidRDefault="00253ECD" w:rsidP="00253ECD">
      <w:pPr>
        <w:pStyle w:val="Rientrocorpodeltesto2"/>
        <w:rPr>
          <w:sz w:val="32"/>
          <w:lang w:val="it-IT"/>
        </w:rPr>
      </w:pPr>
      <w:r>
        <w:rPr>
          <w:b/>
          <w:sz w:val="32"/>
          <w:lang w:val="it-IT"/>
        </w:rPr>
        <w:tab/>
        <w:t xml:space="preserve"> </w:t>
      </w:r>
      <w:r>
        <w:rPr>
          <w:sz w:val="32"/>
          <w:lang w:val="it-IT"/>
        </w:rPr>
        <w:t>Rischio Relativo (RR) = (5,830/1000 p.a.) / (1,429/1000 p.a.) = 4,080</w:t>
      </w:r>
    </w:p>
    <w:p w:rsidR="00253ECD" w:rsidRDefault="00253ECD" w:rsidP="00253ECD">
      <w:pPr>
        <w:pStyle w:val="Rientrocorpodeltesto2"/>
        <w:rPr>
          <w:sz w:val="32"/>
          <w:lang w:val="it-IT"/>
        </w:rPr>
      </w:pPr>
    </w:p>
    <w:p w:rsidR="00253ECD" w:rsidRDefault="00253ECD" w:rsidP="00253ECD">
      <w:pPr>
        <w:pStyle w:val="Rientrocorpodeltesto2"/>
        <w:ind w:left="426" w:hanging="426"/>
        <w:rPr>
          <w:sz w:val="32"/>
          <w:lang w:val="it-IT"/>
        </w:rPr>
      </w:pPr>
      <w:r>
        <w:rPr>
          <w:b/>
          <w:sz w:val="32"/>
          <w:lang w:val="it-IT"/>
        </w:rPr>
        <w:t>1c)</w:t>
      </w:r>
      <w:r>
        <w:rPr>
          <w:sz w:val="32"/>
          <w:lang w:val="it-IT"/>
        </w:rPr>
        <w:t xml:space="preserve"> Il rischio attribuibile si basa su un modello additivo: si assume che l’effetto dell’esposizione (fumo) si sommi all’incidenza basale.</w:t>
      </w:r>
    </w:p>
    <w:p w:rsidR="00253ECD" w:rsidRDefault="00253ECD" w:rsidP="00253ECD">
      <w:pPr>
        <w:pStyle w:val="Rientrocorpodeltesto2"/>
        <w:ind w:left="426" w:firstLine="0"/>
        <w:rPr>
          <w:sz w:val="32"/>
          <w:lang w:val="it-IT"/>
        </w:rPr>
      </w:pPr>
      <w:r>
        <w:rPr>
          <w:sz w:val="32"/>
          <w:lang w:val="it-IT"/>
        </w:rPr>
        <w:t>Il rischio relativo si basa su un modello moltiplicativo: si assume che l’effetto dell’esposizione moltiplichi per un fattore X l’incidenza basale.</w:t>
      </w:r>
    </w:p>
    <w:p w:rsidR="00253ECD" w:rsidRDefault="00253ECD" w:rsidP="00253ECD">
      <w:pPr>
        <w:pStyle w:val="Rientrocorpodeltesto2"/>
        <w:ind w:left="426" w:firstLine="0"/>
        <w:rPr>
          <w:sz w:val="32"/>
          <w:lang w:val="it-IT"/>
        </w:rPr>
      </w:pPr>
      <w:r>
        <w:rPr>
          <w:sz w:val="32"/>
          <w:lang w:val="it-IT"/>
        </w:rPr>
        <w:t>L’interpretazione dei risultati non cambia a seconda del modello utilizzato: in entrambi i casi è chiaramente evidente un’associazione tra abitudine al fumo e infarto miocardico.</w:t>
      </w:r>
    </w:p>
    <w:p w:rsidR="00253ECD" w:rsidRDefault="00253ECD" w:rsidP="00253ECD">
      <w:pPr>
        <w:pStyle w:val="Rientrocorpodeltesto2"/>
        <w:rPr>
          <w:b/>
          <w:sz w:val="32"/>
          <w:lang w:val="it-IT"/>
        </w:rPr>
      </w:pPr>
    </w:p>
    <w:p w:rsidR="00253ECD" w:rsidRDefault="00253ECD" w:rsidP="00253ECD">
      <w:pPr>
        <w:pStyle w:val="Rientrocorpodeltesto2"/>
        <w:rPr>
          <w:b/>
          <w:sz w:val="32"/>
          <w:lang w:val="it-IT"/>
        </w:rPr>
      </w:pPr>
    </w:p>
    <w:p w:rsidR="00253ECD" w:rsidRDefault="00253ECD" w:rsidP="00253ECD">
      <w:pPr>
        <w:pStyle w:val="Rientrocorpodeltesto2"/>
        <w:rPr>
          <w:b/>
          <w:sz w:val="32"/>
          <w:lang w:val="it-IT"/>
        </w:rPr>
      </w:pPr>
    </w:p>
    <w:p w:rsidR="00253ECD" w:rsidRDefault="00253ECD" w:rsidP="00253ECD">
      <w:pPr>
        <w:pStyle w:val="Rientrocorpodeltesto2"/>
        <w:rPr>
          <w:sz w:val="32"/>
          <w:lang w:val="it-IT"/>
        </w:rPr>
      </w:pPr>
      <w:r>
        <w:rPr>
          <w:b/>
          <w:sz w:val="32"/>
          <w:lang w:val="it-IT"/>
        </w:rPr>
        <w:t>2a)</w:t>
      </w:r>
      <w:r>
        <w:rPr>
          <w:sz w:val="32"/>
          <w:lang w:val="it-IT"/>
        </w:rPr>
        <w:t xml:space="preserve"> Trattandosi di uno studio caso-controllo, l</w:t>
      </w:r>
      <w:r>
        <w:rPr>
          <w:sz w:val="32"/>
          <w:lang w:val="it-IT"/>
        </w:rPr>
        <w:t>’unica misura di rischio che si può calcolare è l’</w:t>
      </w:r>
      <w:proofErr w:type="spellStart"/>
      <w:r>
        <w:rPr>
          <w:sz w:val="32"/>
          <w:lang w:val="it-IT"/>
        </w:rPr>
        <w:t>Odds</w:t>
      </w:r>
      <w:proofErr w:type="spellEnd"/>
      <w:r>
        <w:rPr>
          <w:sz w:val="32"/>
          <w:lang w:val="it-IT"/>
        </w:rPr>
        <w:t xml:space="preserve"> Ratio (OR; Rapporto incrociato). Infatti non è possibile calcolare l’incidenza, quindi non si possono calcolare né il Rischio Attribuibile </w:t>
      </w:r>
      <w:bookmarkStart w:id="0" w:name="_GoBack"/>
      <w:bookmarkEnd w:id="0"/>
      <w:r>
        <w:rPr>
          <w:sz w:val="32"/>
          <w:lang w:val="it-IT"/>
        </w:rPr>
        <w:t>né il Rischio Relativo.</w:t>
      </w:r>
    </w:p>
    <w:p w:rsidR="00253ECD" w:rsidRDefault="00253ECD" w:rsidP="00253ECD">
      <w:pPr>
        <w:pStyle w:val="Rientrocorpodeltesto2"/>
        <w:rPr>
          <w:b/>
          <w:sz w:val="32"/>
          <w:lang w:val="it-IT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4.95pt;margin-top:56.2pt;width:151.2pt;height:43.7pt;z-index:251661312" o:allowincell="f">
            <v:imagedata r:id="rId7" o:title=""/>
            <w10:wrap type="topAndBottom"/>
          </v:shape>
          <o:OLEObject Type="Embed" ProgID="Equation.3" ShapeID="_x0000_s1028" DrawAspect="Content" ObjectID="_1637506498" r:id="rId8"/>
        </w:pict>
      </w:r>
      <w:r>
        <w:rPr>
          <w:noProof/>
          <w:sz w:val="32"/>
        </w:rPr>
        <w:pict>
          <v:shape id="_x0000_s1029" type="#_x0000_t75" style="position:absolute;left:0;text-align:left;margin-left:337.75pt;margin-top:56.2pt;width:151.2pt;height:42.3pt;z-index:251662336" o:allowincell="f">
            <v:imagedata r:id="rId9" o:title=""/>
            <w10:wrap type="topAndBottom"/>
          </v:shape>
          <o:OLEObject Type="Embed" ProgID="Equation.3" ShapeID="_x0000_s1029" DrawAspect="Content" ObjectID="_1637506499" r:id="rId10"/>
        </w:pict>
      </w:r>
      <w:r>
        <w:rPr>
          <w:noProof/>
          <w:sz w:val="32"/>
        </w:rPr>
        <w:pict>
          <v:shape id="_x0000_s1027" type="#_x0000_t75" style="position:absolute;left:0;text-align:left;margin-left:-.65pt;margin-top:56.2pt;width:136.8pt;height:39.85pt;z-index:251660288" o:allowincell="f">
            <v:imagedata r:id="rId11" o:title=""/>
            <w10:wrap type="topAndBottom"/>
          </v:shape>
          <o:OLEObject Type="Embed" ProgID="Equation.3" ShapeID="_x0000_s1027" DrawAspect="Content" ObjectID="_1637506500" r:id="rId12"/>
        </w:pict>
      </w:r>
      <w:r>
        <w:rPr>
          <w:b/>
          <w:sz w:val="32"/>
          <w:lang w:val="it-IT"/>
        </w:rPr>
        <w:t>2b)</w:t>
      </w:r>
      <w:r>
        <w:rPr>
          <w:sz w:val="32"/>
          <w:lang w:val="it-IT"/>
        </w:rPr>
        <w:t xml:space="preserve"> </w:t>
      </w:r>
    </w:p>
    <w:p w:rsidR="00253ECD" w:rsidRDefault="00253ECD" w:rsidP="00253ECD">
      <w:pPr>
        <w:pStyle w:val="Rientrocorpodeltesto2"/>
        <w:rPr>
          <w:sz w:val="32"/>
          <w:lang w:val="it-IT"/>
        </w:rPr>
      </w:pPr>
      <w:r>
        <w:rPr>
          <w:noProof/>
          <w:sz w:val="32"/>
        </w:rPr>
        <w:pict>
          <v:shape id="_x0000_s1026" type="#_x0000_t75" style="position:absolute;left:0;text-align:left;margin-left:0;margin-top:0;width:9pt;height:17pt;z-index:251659264" o:allowincell="f">
            <v:imagedata r:id="rId13" o:title=""/>
            <w10:wrap type="topAndBottom"/>
          </v:shape>
          <o:OLEObject Type="Embed" ProgID="Equation.3" ShapeID="_x0000_s1026" DrawAspect="Content" ObjectID="_1637506501" r:id="rId14"/>
        </w:pict>
      </w:r>
      <w:r>
        <w:rPr>
          <w:sz w:val="32"/>
          <w:lang w:val="it-IT"/>
        </w:rPr>
        <w:t xml:space="preserve"> </w:t>
      </w:r>
    </w:p>
    <w:p w:rsidR="00253ECD" w:rsidRDefault="00253ECD" w:rsidP="00253ECD">
      <w:pPr>
        <w:pStyle w:val="Rientrocorpodeltesto2"/>
        <w:rPr>
          <w:sz w:val="32"/>
          <w:lang w:val="it-IT"/>
        </w:rPr>
      </w:pPr>
      <w:r>
        <w:rPr>
          <w:b/>
          <w:sz w:val="32"/>
          <w:lang w:val="it-IT"/>
        </w:rPr>
        <w:t>2c)</w:t>
      </w:r>
      <w:r>
        <w:rPr>
          <w:sz w:val="32"/>
          <w:lang w:val="it-IT"/>
        </w:rPr>
        <w:t xml:space="preserve"> Sì, l’OR per tumore esofageo, rispetto alla categoria di riferimento, aumenta progressivamente all’aum</w:t>
      </w:r>
      <w:r>
        <w:rPr>
          <w:sz w:val="32"/>
          <w:lang w:val="it-IT"/>
        </w:rPr>
        <w:t>entare del consumo di alcool. Pertanto la presenza di un nesso causale è supportata dalla presenza di un</w:t>
      </w:r>
      <w:r>
        <w:rPr>
          <w:sz w:val="32"/>
          <w:lang w:val="it-IT"/>
        </w:rPr>
        <w:t xml:space="preserve"> gradiente dose-risposta. </w:t>
      </w:r>
      <w:r>
        <w:rPr>
          <w:sz w:val="32"/>
          <w:lang w:val="it-IT"/>
        </w:rPr>
        <w:t xml:space="preserve">Le misure di associazione sono abbastanza elevate </w:t>
      </w:r>
      <w:r>
        <w:rPr>
          <w:sz w:val="32"/>
          <w:lang w:val="it-IT"/>
        </w:rPr>
        <w:t>(2 OR sono maggiori di 5)</w:t>
      </w:r>
      <w:r>
        <w:rPr>
          <w:sz w:val="32"/>
          <w:lang w:val="it-IT"/>
        </w:rPr>
        <w:t>, e questo suggerisce la presenza di una forte associazione</w:t>
      </w:r>
      <w:r>
        <w:rPr>
          <w:sz w:val="32"/>
          <w:lang w:val="it-IT"/>
        </w:rPr>
        <w:t>.</w:t>
      </w:r>
    </w:p>
    <w:p w:rsidR="00253ECD" w:rsidRDefault="00253ECD" w:rsidP="00253ECD">
      <w:pPr>
        <w:pStyle w:val="Rientrocorpodeltesto2"/>
        <w:rPr>
          <w:b/>
          <w:sz w:val="32"/>
          <w:lang w:val="it-IT"/>
        </w:rPr>
      </w:pPr>
    </w:p>
    <w:p w:rsidR="00072067" w:rsidRDefault="00072067"/>
    <w:sectPr w:rsidR="00072067" w:rsidSect="00253ECD">
      <w:footerReference w:type="default" r:id="rId15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CD" w:rsidRDefault="00253ECD" w:rsidP="00253ECD">
      <w:r>
        <w:separator/>
      </w:r>
    </w:p>
  </w:endnote>
  <w:endnote w:type="continuationSeparator" w:id="0">
    <w:p w:rsidR="00253ECD" w:rsidRDefault="00253ECD" w:rsidP="0025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08696"/>
      <w:docPartObj>
        <w:docPartGallery w:val="Page Numbers (Bottom of Page)"/>
        <w:docPartUnique/>
      </w:docPartObj>
    </w:sdtPr>
    <w:sdtContent>
      <w:p w:rsidR="00253ECD" w:rsidRDefault="00253E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3FF">
          <w:rPr>
            <w:noProof/>
          </w:rPr>
          <w:t>3</w:t>
        </w:r>
        <w:r>
          <w:fldChar w:fldCharType="end"/>
        </w:r>
      </w:p>
    </w:sdtContent>
  </w:sdt>
  <w:p w:rsidR="00253ECD" w:rsidRDefault="00253E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CD" w:rsidRDefault="00253ECD" w:rsidP="00253ECD">
      <w:r>
        <w:separator/>
      </w:r>
    </w:p>
  </w:footnote>
  <w:footnote w:type="continuationSeparator" w:id="0">
    <w:p w:rsidR="00253ECD" w:rsidRDefault="00253ECD" w:rsidP="0025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CD"/>
    <w:rsid w:val="00072067"/>
    <w:rsid w:val="00253ECD"/>
    <w:rsid w:val="00A9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E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253ECD"/>
    <w:pPr>
      <w:ind w:left="284" w:hanging="284"/>
      <w:jc w:val="both"/>
    </w:pPr>
    <w:rPr>
      <w:lang w:val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53ECD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3E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E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3E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ECD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9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E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253ECD"/>
    <w:pPr>
      <w:ind w:left="284" w:hanging="284"/>
      <w:jc w:val="both"/>
    </w:pPr>
    <w:rPr>
      <w:lang w:val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53ECD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3E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E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3E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ECD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9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Verlato</dc:creator>
  <cp:lastModifiedBy>Verlato</cp:lastModifiedBy>
  <cp:revision>1</cp:revision>
  <dcterms:created xsi:type="dcterms:W3CDTF">2019-12-10T16:50:00Z</dcterms:created>
  <dcterms:modified xsi:type="dcterms:W3CDTF">2019-12-10T17:09:00Z</dcterms:modified>
</cp:coreProperties>
</file>