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FAD" w:rsidRDefault="00720A35">
      <w:pPr>
        <w:jc w:val="center"/>
        <w:rPr>
          <w:b/>
          <w:color w:val="000000" w:themeColor="text1"/>
          <w:sz w:val="24"/>
          <w:szCs w:val="24"/>
        </w:rPr>
      </w:pPr>
      <w:bookmarkStart w:id="0" w:name="_GoBack"/>
      <w:bookmarkEnd w:id="0"/>
      <w:r>
        <w:rPr>
          <w:b/>
          <w:color w:val="000000" w:themeColor="text1"/>
          <w:sz w:val="24"/>
          <w:szCs w:val="24"/>
        </w:rPr>
        <w:t>SUGGERIMENTI OPERATIVI E TERAPEUTICI</w:t>
      </w:r>
    </w:p>
    <w:p w:rsidR="00CB5FAD" w:rsidRDefault="00720A35">
      <w:pPr>
        <w:jc w:val="center"/>
        <w:rPr>
          <w:i/>
          <w:color w:val="000000" w:themeColor="text1"/>
          <w:sz w:val="24"/>
          <w:szCs w:val="24"/>
        </w:rPr>
      </w:pPr>
      <w:r>
        <w:rPr>
          <w:b/>
          <w:color w:val="000000" w:themeColor="text1"/>
          <w:sz w:val="24"/>
          <w:szCs w:val="24"/>
        </w:rPr>
        <w:t>PER PAZIENTI AFFETTI DA COVID-19 TRATTATI NEL TERRITORIO</w:t>
      </w:r>
      <w:r>
        <w:rPr>
          <w:color w:val="000000" w:themeColor="text1"/>
          <w:sz w:val="24"/>
          <w:szCs w:val="24"/>
        </w:rPr>
        <w:t xml:space="preserve"> </w:t>
      </w:r>
    </w:p>
    <w:p w:rsidR="00CB5FAD" w:rsidRDefault="00720A35">
      <w:pPr>
        <w:jc w:val="center"/>
        <w:rPr>
          <w:color w:val="000000" w:themeColor="text1"/>
          <w:sz w:val="24"/>
          <w:szCs w:val="24"/>
        </w:rPr>
      </w:pPr>
      <w:r>
        <w:rPr>
          <w:color w:val="000000" w:themeColor="text1"/>
          <w:sz w:val="24"/>
          <w:szCs w:val="24"/>
        </w:rPr>
        <w:t xml:space="preserve">Documento di Consenso a cura del Gruppo di Lavoro Territorio/Ospedale/Università* </w:t>
      </w:r>
    </w:p>
    <w:p w:rsidR="00CB5FAD" w:rsidRDefault="00720A35">
      <w:pPr>
        <w:jc w:val="center"/>
        <w:rPr>
          <w:color w:val="000000" w:themeColor="text1"/>
          <w:sz w:val="24"/>
          <w:szCs w:val="24"/>
        </w:rPr>
      </w:pPr>
      <w:r>
        <w:rPr>
          <w:color w:val="000000" w:themeColor="text1"/>
          <w:sz w:val="24"/>
          <w:szCs w:val="24"/>
        </w:rPr>
        <w:t>(Novembre 2020)</w:t>
      </w:r>
    </w:p>
    <w:p w:rsidR="00CB5FAD" w:rsidRDefault="00CB5FAD">
      <w:pPr>
        <w:rPr>
          <w:i/>
          <w:color w:val="000000" w:themeColor="text1"/>
          <w:sz w:val="24"/>
          <w:szCs w:val="24"/>
        </w:rPr>
      </w:pPr>
    </w:p>
    <w:p w:rsidR="00CB5FAD" w:rsidRDefault="00CB5FAD">
      <w:pPr>
        <w:spacing w:after="0"/>
        <w:rPr>
          <w:rFonts w:cstheme="minorHAnsi"/>
          <w:b/>
          <w:bCs/>
          <w:color w:val="000000" w:themeColor="text1"/>
          <w:sz w:val="24"/>
          <w:szCs w:val="24"/>
        </w:rPr>
      </w:pPr>
    </w:p>
    <w:p w:rsidR="00CB5FAD" w:rsidRDefault="00720A35">
      <w:pPr>
        <w:spacing w:after="0"/>
        <w:rPr>
          <w:rFonts w:cstheme="minorHAnsi"/>
          <w:b/>
          <w:iCs/>
          <w:color w:val="000000" w:themeColor="text1"/>
          <w:sz w:val="24"/>
          <w:szCs w:val="24"/>
        </w:rPr>
      </w:pPr>
      <w:r>
        <w:rPr>
          <w:rFonts w:cstheme="minorHAnsi"/>
          <w:b/>
          <w:iCs/>
          <w:color w:val="000000" w:themeColor="text1"/>
          <w:sz w:val="24"/>
          <w:szCs w:val="24"/>
        </w:rPr>
        <w:t>PREMESSA:</w:t>
      </w:r>
      <w:r>
        <w:rPr>
          <w:rFonts w:cstheme="minorHAnsi"/>
          <w:iCs/>
          <w:color w:val="000000" w:themeColor="text1"/>
          <w:sz w:val="24"/>
          <w:szCs w:val="24"/>
        </w:rPr>
        <w:t xml:space="preserve"> </w:t>
      </w:r>
    </w:p>
    <w:p w:rsidR="00CB5FAD" w:rsidRDefault="00720A35">
      <w:pPr>
        <w:spacing w:after="0"/>
        <w:rPr>
          <w:rFonts w:cstheme="minorHAnsi"/>
          <w:i/>
          <w:iCs/>
          <w:color w:val="000000" w:themeColor="text1"/>
          <w:sz w:val="24"/>
          <w:szCs w:val="24"/>
        </w:rPr>
      </w:pPr>
      <w:r>
        <w:rPr>
          <w:rFonts w:cstheme="minorHAnsi"/>
          <w:i/>
          <w:iCs/>
          <w:color w:val="000000" w:themeColor="text1"/>
          <w:sz w:val="24"/>
          <w:szCs w:val="24"/>
        </w:rPr>
        <w:t>Mancano finora solide evidenze che permettano di costruire linee guida o raccomandazioni da parte di autorità scientifiche riguardo la terapia utilizzabile nel territorio contro la malattia da coronavirus SARS2-CoV-19 (1,2) pertanto il medico di famiglia si trova da solo, spesso sprovvisto di DPI e di personale infermieristico e segretariale e soprattutto senza farmaci per combattere questa nuovissima malattia. Anche in tale situazione i medici di famiglia hanno il dovere, basandosi sulla loro esperienza e sulla loro cultura fisiopatologica (3), di dare una risposta assistenziale e terapeutica al paziente. D’altro canto, alcune strategie terapeutiche praticate in ospedale hanno dato dei risultati, di cui bisogna tener conto per un eventuale utilizzo in futuro nel territorio. Dall’integrazione delle competenze dei medici di famiglia e dei colleghi specialisti (infettivologi, virologi, pneumologi, internisti, etc.) nasce questo documento di Consenso che proponiamo ai colleghi impegnati nell’assistenza sul territorio.</w:t>
      </w:r>
    </w:p>
    <w:p w:rsidR="00CB5FAD" w:rsidRDefault="00CB5FAD">
      <w:pPr>
        <w:spacing w:after="0"/>
        <w:rPr>
          <w:rFonts w:cstheme="minorHAnsi"/>
          <w:b/>
          <w:bCs/>
          <w:color w:val="000000" w:themeColor="text1"/>
          <w:sz w:val="24"/>
          <w:szCs w:val="24"/>
        </w:rPr>
      </w:pPr>
    </w:p>
    <w:p w:rsidR="00CB5FAD" w:rsidRDefault="00720A35">
      <w:pPr>
        <w:spacing w:after="0"/>
        <w:rPr>
          <w:rFonts w:cstheme="minorHAnsi"/>
          <w:b/>
          <w:bCs/>
          <w:color w:val="000000" w:themeColor="text1"/>
          <w:sz w:val="24"/>
          <w:szCs w:val="24"/>
        </w:rPr>
      </w:pPr>
      <w:r>
        <w:rPr>
          <w:rFonts w:cstheme="minorHAnsi"/>
          <w:b/>
          <w:bCs/>
          <w:color w:val="000000" w:themeColor="text1"/>
          <w:sz w:val="24"/>
          <w:szCs w:val="24"/>
        </w:rPr>
        <w:t xml:space="preserve">DECORSO “NATURALE” DELLA MALATTIA </w:t>
      </w:r>
    </w:p>
    <w:p w:rsidR="00CB5FAD" w:rsidRDefault="00720A35">
      <w:pPr>
        <w:pStyle w:val="NormaleWeb"/>
        <w:spacing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 xml:space="preserve">Una volta avvenuto il contagio, l’incubazione ha una durata media di circa 5 giorni, con un minimo di 2 giorni ed un massimo di circa 12 (range stimato 2-14 giorni) seguita dall’esordio sintomatologico, in genere relativo alle vie aeree superiori, ma non raramente anche intestinale, con prevalenti: febbre, tosse, alterazione dell’olfatto e del gusto, malessere e dispnea, che spesso non è avvertita dal paziente. </w:t>
      </w:r>
    </w:p>
    <w:p w:rsidR="00CB5FAD" w:rsidRDefault="00720A35">
      <w:pPr>
        <w:pStyle w:val="NormaleWeb"/>
        <w:spacing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 xml:space="preserve">Non esistono segni patognomonici o corredi sintomatologici tipici e non conosciamo bene quale sia la prevalenza dei pazienti asintomatici, anche se alcuni dati, essenzialmente derivati dallo studio di popolazione effettuato a Vo’ Euganeo, suggeriscono che gli asintomatici allora erano tra il 30 e il 43% degli affetti dal coronavirus (4). I dati ricavati da “epicentro coronavirus” (5) (vedi figura 1), riferiti all’Italia, mostrano che a Giugno 2020 gli asintomatici erano dal 47 al 62%, mentre i paucisintomatici erano attorno al 7%. Queste due categorie insieme ad agosto salgono al 73%. Chi aveva la condizione severa di malattia variava tra il 3 e il 6% durante tutta l’estate. </w:t>
      </w:r>
    </w:p>
    <w:p w:rsidR="00CB5FAD" w:rsidRDefault="00720A35">
      <w:pPr>
        <w:pStyle w:val="NormaleWeb"/>
        <w:spacing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 xml:space="preserve">Verso la fine di Ottobre gli asintomatici sono il 53% ed i paucisintomatici sono circa il 15%, cioè complessivamente il 68%. Chi ha una malattia lieve si attesta intorno al 25% e quelli con malattia grave attorno al 4%. </w:t>
      </w:r>
    </w:p>
    <w:p w:rsidR="00CB5FAD" w:rsidRDefault="00720A35">
      <w:pPr>
        <w:pStyle w:val="NormaleWeb"/>
        <w:spacing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Il tasso di letalità in Italia, cumulato da inizio epidemia ad oggi (16.11.20) è al 3,79%, con variazioni marcate da regione e regione, mentre quello mondiale è al 2.41% (6).  Ricordiamo che il tasso di letalità in Italia per influenza nel 2019-2020 è stato dello 0.16%. Ricordiamo inoltre che il tasso di letalità, calcolato sui dati forniti dalla Protezione Civile, è dato dal rapporto dei decessi sui casi totali, mentre il tasso di mortalità è dato dal rapporto dei decessi sull’intera popolazione.</w:t>
      </w:r>
    </w:p>
    <w:p w:rsidR="00CB5FAD" w:rsidRDefault="00CB5FAD">
      <w:pPr>
        <w:pStyle w:val="NormaleWeb"/>
        <w:spacing w:beforeAutospacing="0" w:after="0" w:afterAutospacing="0"/>
        <w:rPr>
          <w:rFonts w:asciiTheme="minorHAnsi" w:hAnsiTheme="minorHAnsi" w:cstheme="minorHAnsi"/>
          <w:color w:val="000000" w:themeColor="text1"/>
        </w:rPr>
      </w:pPr>
    </w:p>
    <w:p w:rsidR="00CB5FAD" w:rsidRDefault="00CB5FAD">
      <w:pPr>
        <w:pStyle w:val="NormaleWeb"/>
        <w:spacing w:beforeAutospacing="0" w:after="0" w:afterAutospacing="0"/>
        <w:rPr>
          <w:rFonts w:asciiTheme="minorHAnsi" w:hAnsiTheme="minorHAnsi" w:cstheme="minorHAnsi"/>
          <w:i/>
          <w:color w:val="000000" w:themeColor="text1"/>
        </w:rPr>
      </w:pPr>
    </w:p>
    <w:p w:rsidR="00CB5FAD" w:rsidRDefault="00CB5FAD">
      <w:pPr>
        <w:pStyle w:val="NormaleWeb"/>
        <w:spacing w:beforeAutospacing="0" w:after="0" w:afterAutospacing="0"/>
        <w:rPr>
          <w:rFonts w:asciiTheme="minorHAnsi" w:hAnsiTheme="minorHAnsi" w:cstheme="minorHAnsi"/>
          <w:i/>
          <w:color w:val="000000" w:themeColor="text1"/>
        </w:rPr>
      </w:pPr>
    </w:p>
    <w:p w:rsidR="00CB5FAD" w:rsidRDefault="00CB5FAD">
      <w:pPr>
        <w:pStyle w:val="NormaleWeb"/>
        <w:spacing w:beforeAutospacing="0" w:after="0" w:afterAutospacing="0"/>
        <w:rPr>
          <w:rFonts w:asciiTheme="minorHAnsi" w:hAnsiTheme="minorHAnsi" w:cstheme="minorHAnsi"/>
          <w:i/>
          <w:color w:val="000000" w:themeColor="text1"/>
        </w:rPr>
      </w:pPr>
    </w:p>
    <w:p w:rsidR="00CB5FAD" w:rsidRDefault="00720A35">
      <w:pPr>
        <w:pStyle w:val="NormaleWeb"/>
        <w:spacing w:beforeAutospacing="0" w:after="0" w:afterAutospacing="0"/>
        <w:rPr>
          <w:rFonts w:asciiTheme="minorHAnsi" w:hAnsiTheme="minorHAnsi" w:cstheme="minorHAnsi"/>
          <w:i/>
          <w:color w:val="000000" w:themeColor="text1"/>
        </w:rPr>
      </w:pPr>
      <w:r>
        <w:rPr>
          <w:rFonts w:asciiTheme="minorHAnsi" w:hAnsiTheme="minorHAnsi" w:cstheme="minorHAnsi"/>
          <w:i/>
          <w:color w:val="000000" w:themeColor="text1"/>
        </w:rPr>
        <w:lastRenderedPageBreak/>
        <w:t>Figura 1. Percentuale di casi di COVID-19 diagnosticati in Italia per stato clinico al momento della diagnosi e settimana di diagnosi (5)</w:t>
      </w:r>
    </w:p>
    <w:p w:rsidR="00CB5FAD" w:rsidRDefault="00CB5FAD">
      <w:pPr>
        <w:pStyle w:val="NormaleWeb"/>
        <w:spacing w:beforeAutospacing="0" w:after="0" w:afterAutospacing="0"/>
        <w:rPr>
          <w:rFonts w:asciiTheme="minorHAnsi" w:hAnsiTheme="minorHAnsi" w:cstheme="minorHAnsi"/>
          <w:color w:val="000000" w:themeColor="text1"/>
        </w:rPr>
      </w:pPr>
    </w:p>
    <w:p w:rsidR="00CB5FAD" w:rsidRDefault="00720A35">
      <w:pPr>
        <w:spacing w:after="0" w:line="240" w:lineRule="auto"/>
      </w:pPr>
      <w:r>
        <w:rPr>
          <w:noProof/>
          <w:lang w:eastAsia="it-IT"/>
        </w:rPr>
        <w:drawing>
          <wp:inline distT="0" distB="1270" distL="0" distR="0">
            <wp:extent cx="5575935" cy="3478530"/>
            <wp:effectExtent l="0" t="0" r="0" b="0"/>
            <wp:docPr id="1" name="Immagine 2" descr="page21image2772794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page21image2772794080"/>
                    <pic:cNvPicPr>
                      <a:picLocks noChangeAspect="1" noChangeArrowheads="1"/>
                    </pic:cNvPicPr>
                  </pic:nvPicPr>
                  <pic:blipFill>
                    <a:blip r:embed="rId7"/>
                    <a:stretch>
                      <a:fillRect/>
                    </a:stretch>
                  </pic:blipFill>
                  <pic:spPr bwMode="auto">
                    <a:xfrm>
                      <a:off x="0" y="0"/>
                      <a:ext cx="5575935" cy="3478530"/>
                    </a:xfrm>
                    <a:prstGeom prst="rect">
                      <a:avLst/>
                    </a:prstGeom>
                  </pic:spPr>
                </pic:pic>
              </a:graphicData>
            </a:graphic>
          </wp:inline>
        </w:drawing>
      </w:r>
    </w:p>
    <w:p w:rsidR="00CB5FAD" w:rsidRDefault="00CB5FAD">
      <w:pPr>
        <w:rPr>
          <w:rFonts w:cstheme="minorHAnsi"/>
          <w:color w:val="000000" w:themeColor="text1"/>
          <w:sz w:val="24"/>
          <w:szCs w:val="24"/>
        </w:rPr>
      </w:pPr>
    </w:p>
    <w:p w:rsidR="00CB5FAD" w:rsidRDefault="00720A35">
      <w:pPr>
        <w:rPr>
          <w:rFonts w:cstheme="minorHAnsi"/>
          <w:color w:val="000000" w:themeColor="text1"/>
          <w:sz w:val="24"/>
          <w:szCs w:val="24"/>
        </w:rPr>
      </w:pPr>
      <w:r>
        <w:rPr>
          <w:rFonts w:cstheme="minorHAnsi"/>
          <w:color w:val="000000" w:themeColor="text1"/>
          <w:sz w:val="24"/>
          <w:szCs w:val="24"/>
        </w:rPr>
        <w:t xml:space="preserve">La malattia da coronavirus evolve in genere secondo tre fasi sequenziali di gravità: </w:t>
      </w:r>
    </w:p>
    <w:p w:rsidR="00CB5FAD" w:rsidRDefault="00720A35">
      <w:pPr>
        <w:pStyle w:val="Paragrafoelenco"/>
        <w:numPr>
          <w:ilvl w:val="0"/>
          <w:numId w:val="1"/>
        </w:numPr>
        <w:ind w:left="426"/>
        <w:rPr>
          <w:rFonts w:cstheme="minorHAnsi"/>
          <w:color w:val="000000" w:themeColor="text1"/>
          <w:sz w:val="24"/>
          <w:szCs w:val="24"/>
        </w:rPr>
      </w:pPr>
      <w:r>
        <w:rPr>
          <w:rFonts w:cstheme="minorHAnsi"/>
          <w:color w:val="000000" w:themeColor="text1"/>
          <w:sz w:val="24"/>
          <w:szCs w:val="24"/>
        </w:rPr>
        <w:t>Una prima fase collegata alla replicazione virale che esplode dopo il periodo di incubazione; caratterizzata da sintomatologia simil-influenzale (ILI, Influence Like Illness) con febbre, tosse e malessere generale. Come detto, nella maggior parte dei casi il decorso è assolutamente benigno e si conclude in circa cinque giorni dall’esordio, con residua discreta, ma prolungata astenia.</w:t>
      </w:r>
    </w:p>
    <w:p w:rsidR="00CB5FAD" w:rsidRDefault="00720A35">
      <w:pPr>
        <w:pStyle w:val="Paragrafoelenco"/>
        <w:numPr>
          <w:ilvl w:val="0"/>
          <w:numId w:val="1"/>
        </w:numPr>
        <w:ind w:left="426"/>
        <w:rPr>
          <w:rFonts w:cstheme="minorHAnsi"/>
          <w:color w:val="000000" w:themeColor="text1"/>
          <w:sz w:val="24"/>
          <w:szCs w:val="24"/>
        </w:rPr>
      </w:pPr>
      <w:r>
        <w:rPr>
          <w:rFonts w:cstheme="minorHAnsi"/>
          <w:color w:val="000000" w:themeColor="text1"/>
          <w:sz w:val="24"/>
          <w:szCs w:val="24"/>
        </w:rPr>
        <w:t xml:space="preserve">La malattia può poi progredire verso una seconda fase, spesso preceduta da uno o due giorni di apparente benessere, e caratterizzata dall’interessamento polmonare massivo con un quadro di polmonite interstiziale e dispnea poco avvertita dal paziente. Tale fase ha anch’essa durata di quattro-cinque giorni e richiede sorveglianza intensificata perché l’evoluzione verso il peggioramento piò essere rapidissima; in poche ore il paziente diventa francamente dispnoico e ipossiemia grave. Dall’esperienza lombarda della prima fase pandemica sembra che il periodo di maggior criticità sia tra l’ottava e la decima giornata dall’esordio. </w:t>
      </w:r>
    </w:p>
    <w:p w:rsidR="00CB5FAD" w:rsidRDefault="00720A35">
      <w:pPr>
        <w:pStyle w:val="Paragrafoelenco"/>
        <w:numPr>
          <w:ilvl w:val="0"/>
          <w:numId w:val="1"/>
        </w:numPr>
        <w:spacing w:after="0"/>
        <w:ind w:left="426"/>
        <w:rPr>
          <w:rFonts w:cstheme="minorHAnsi"/>
          <w:color w:val="000000" w:themeColor="text1"/>
          <w:sz w:val="24"/>
          <w:szCs w:val="24"/>
        </w:rPr>
      </w:pPr>
      <w:r>
        <w:rPr>
          <w:rFonts w:cstheme="minorHAnsi"/>
          <w:color w:val="000000" w:themeColor="text1"/>
          <w:sz w:val="24"/>
          <w:szCs w:val="24"/>
        </w:rPr>
        <w:t xml:space="preserve">Come detto, in circa il 5% degli affetti si può instaurare un grave quadro di insufficienza respiratoria, determinata dai processi di iper-infiammazione, che necessita di ricovero in terapia intensiva. L’exitus avviene in genere per insufficienza respiratoria acuta (ARDS, Acute Respiratory Distress Syndrome) o coagulazione intravascolare disseminata (CID). </w:t>
      </w:r>
    </w:p>
    <w:p w:rsidR="00CB5FAD" w:rsidRDefault="00CB5FAD">
      <w:pPr>
        <w:spacing w:after="0"/>
        <w:ind w:left="66"/>
        <w:rPr>
          <w:rFonts w:cstheme="minorHAnsi"/>
          <w:color w:val="000000" w:themeColor="text1"/>
          <w:sz w:val="24"/>
          <w:szCs w:val="24"/>
        </w:rPr>
      </w:pPr>
    </w:p>
    <w:p w:rsidR="00CB5FAD" w:rsidRDefault="00CB5FAD">
      <w:pPr>
        <w:spacing w:after="0"/>
        <w:ind w:left="66"/>
        <w:rPr>
          <w:rFonts w:cstheme="minorHAnsi"/>
          <w:color w:val="000000" w:themeColor="text1"/>
          <w:sz w:val="24"/>
          <w:szCs w:val="24"/>
        </w:rPr>
      </w:pPr>
    </w:p>
    <w:p w:rsidR="00CB5FAD" w:rsidRDefault="00CB5FAD">
      <w:pPr>
        <w:spacing w:after="0"/>
        <w:rPr>
          <w:rFonts w:cstheme="minorHAnsi"/>
          <w:b/>
          <w:bCs/>
          <w:color w:val="000000" w:themeColor="text1"/>
          <w:sz w:val="24"/>
          <w:szCs w:val="24"/>
        </w:rPr>
      </w:pPr>
    </w:p>
    <w:p w:rsidR="00CB5FAD" w:rsidRDefault="00CB5FAD">
      <w:pPr>
        <w:spacing w:after="0"/>
        <w:rPr>
          <w:rFonts w:cstheme="minorHAnsi"/>
          <w:b/>
          <w:bCs/>
          <w:color w:val="000000" w:themeColor="text1"/>
          <w:sz w:val="24"/>
          <w:szCs w:val="24"/>
        </w:rPr>
      </w:pPr>
    </w:p>
    <w:p w:rsidR="00CB5FAD" w:rsidRDefault="00CB5FAD">
      <w:pPr>
        <w:spacing w:after="0"/>
        <w:rPr>
          <w:rFonts w:cstheme="minorHAnsi"/>
          <w:b/>
          <w:bCs/>
          <w:color w:val="000000" w:themeColor="text1"/>
          <w:sz w:val="24"/>
          <w:szCs w:val="24"/>
        </w:rPr>
      </w:pPr>
    </w:p>
    <w:p w:rsidR="00CB5FAD" w:rsidRDefault="00CB5FAD">
      <w:pPr>
        <w:spacing w:after="0"/>
        <w:rPr>
          <w:rFonts w:cstheme="minorHAnsi"/>
          <w:b/>
          <w:bCs/>
          <w:color w:val="000000" w:themeColor="text1"/>
          <w:sz w:val="24"/>
          <w:szCs w:val="24"/>
        </w:rPr>
      </w:pPr>
    </w:p>
    <w:p w:rsidR="00CB5FAD" w:rsidRDefault="00720A35">
      <w:pPr>
        <w:spacing w:after="0"/>
        <w:rPr>
          <w:rFonts w:cstheme="minorHAnsi"/>
          <w:b/>
          <w:bCs/>
          <w:color w:val="000000" w:themeColor="text1"/>
          <w:sz w:val="24"/>
          <w:szCs w:val="24"/>
        </w:rPr>
      </w:pPr>
      <w:r>
        <w:rPr>
          <w:rFonts w:cstheme="minorHAnsi"/>
          <w:b/>
          <w:bCs/>
          <w:color w:val="000000" w:themeColor="text1"/>
          <w:sz w:val="24"/>
          <w:szCs w:val="24"/>
        </w:rPr>
        <w:t>MODELLI CLINICI</w:t>
      </w:r>
    </w:p>
    <w:p w:rsidR="00CB5FAD" w:rsidRDefault="00720A35">
      <w:pPr>
        <w:spacing w:after="0"/>
        <w:rPr>
          <w:rFonts w:cstheme="minorHAnsi"/>
          <w:color w:val="000000" w:themeColor="text1"/>
          <w:sz w:val="24"/>
          <w:szCs w:val="24"/>
        </w:rPr>
      </w:pPr>
      <w:r>
        <w:rPr>
          <w:rFonts w:cstheme="minorHAnsi"/>
          <w:color w:val="000000" w:themeColor="text1"/>
          <w:sz w:val="24"/>
          <w:szCs w:val="24"/>
        </w:rPr>
        <w:t>All’interno di questa potenziale evoluzione trifasica sono stati definiti 5 modelli clinici della SARS-COV2 (7)</w:t>
      </w:r>
    </w:p>
    <w:p w:rsidR="00CB5FAD" w:rsidRDefault="00720A35">
      <w:pPr>
        <w:pStyle w:val="Paragrafoelenco"/>
        <w:numPr>
          <w:ilvl w:val="0"/>
          <w:numId w:val="2"/>
        </w:numPr>
        <w:spacing w:after="0"/>
        <w:rPr>
          <w:rFonts w:cstheme="minorHAnsi"/>
          <w:color w:val="000000" w:themeColor="text1"/>
          <w:sz w:val="24"/>
          <w:szCs w:val="24"/>
        </w:rPr>
      </w:pPr>
      <w:r>
        <w:rPr>
          <w:rFonts w:cstheme="minorHAnsi"/>
          <w:color w:val="000000" w:themeColor="text1"/>
          <w:sz w:val="24"/>
          <w:szCs w:val="24"/>
        </w:rPr>
        <w:t>Con febbre e sintomi respiratori lievi o assenti, senza ipossia e con eventuale radiografia negativa per interstiziopatia (ricordiamo che l’ecografia polmonare è più sensibile e specifica per le forme interstiziali rispetto alla radiografia standard). In genere questi pazienti sono seguiti a domicilio.</w:t>
      </w:r>
    </w:p>
    <w:p w:rsidR="00CB5FAD" w:rsidRDefault="00720A35">
      <w:pPr>
        <w:pStyle w:val="Paragrafoelenco"/>
        <w:numPr>
          <w:ilvl w:val="0"/>
          <w:numId w:val="2"/>
        </w:numPr>
        <w:spacing w:after="0"/>
        <w:rPr>
          <w:rFonts w:cstheme="minorHAnsi"/>
          <w:color w:val="000000" w:themeColor="text1"/>
          <w:sz w:val="24"/>
          <w:szCs w:val="24"/>
        </w:rPr>
      </w:pPr>
      <w:r>
        <w:rPr>
          <w:rFonts w:cstheme="minorHAnsi"/>
          <w:color w:val="000000" w:themeColor="text1"/>
          <w:sz w:val="24"/>
          <w:szCs w:val="24"/>
        </w:rPr>
        <w:t xml:space="preserve">Con febbre e sintomi respiratori associati a ipossia, rilevata con Emogasanalisi oppure con lesioni evidenti all’Rx Torace/Ecografia Polmonare/TAC Torace. Pazienti ricoverati e trattati con le varie terapie antivirali ed ev. ossigenoterapia a flusso basso. È prevedibile il loro successivo trasferimento al domicilio in stretta osservazione. </w:t>
      </w:r>
    </w:p>
    <w:p w:rsidR="00CB5FAD" w:rsidRDefault="00720A35">
      <w:pPr>
        <w:pStyle w:val="Paragrafoelenco"/>
        <w:numPr>
          <w:ilvl w:val="0"/>
          <w:numId w:val="2"/>
        </w:numPr>
        <w:spacing w:after="0"/>
        <w:rPr>
          <w:rFonts w:cstheme="minorHAnsi"/>
          <w:color w:val="000000" w:themeColor="text1"/>
          <w:sz w:val="24"/>
          <w:szCs w:val="24"/>
        </w:rPr>
      </w:pPr>
      <w:r>
        <w:rPr>
          <w:rFonts w:cstheme="minorHAnsi"/>
          <w:color w:val="000000" w:themeColor="text1"/>
          <w:sz w:val="24"/>
          <w:szCs w:val="24"/>
        </w:rPr>
        <w:t xml:space="preserve">Con febbre, sintomi respiratori e franca ipossia associata ad addensamenti multipli alla radiografia/TAC. Pazienti gestiti in area subintensiva con prevalente ossigenoterapia ad alti flussi. </w:t>
      </w:r>
    </w:p>
    <w:p w:rsidR="00CB5FAD" w:rsidRDefault="00720A35">
      <w:pPr>
        <w:pStyle w:val="Paragrafoelenco"/>
        <w:numPr>
          <w:ilvl w:val="0"/>
          <w:numId w:val="2"/>
        </w:numPr>
        <w:spacing w:after="0"/>
        <w:rPr>
          <w:rFonts w:cstheme="minorHAnsi"/>
          <w:color w:val="000000" w:themeColor="text1"/>
          <w:sz w:val="24"/>
          <w:szCs w:val="24"/>
        </w:rPr>
      </w:pPr>
      <w:r>
        <w:rPr>
          <w:rFonts w:cstheme="minorHAnsi"/>
          <w:color w:val="000000" w:themeColor="text1"/>
          <w:sz w:val="24"/>
          <w:szCs w:val="24"/>
        </w:rPr>
        <w:t>Definito “pre-ARDS”. Come sopra, ma con necessità di ventilazione assistita CPAP</w:t>
      </w:r>
    </w:p>
    <w:p w:rsidR="00CB5FAD" w:rsidRDefault="00720A35">
      <w:pPr>
        <w:pStyle w:val="Paragrafoelenco"/>
        <w:numPr>
          <w:ilvl w:val="0"/>
          <w:numId w:val="2"/>
        </w:numPr>
        <w:spacing w:after="0"/>
        <w:rPr>
          <w:rFonts w:cstheme="minorHAnsi"/>
          <w:color w:val="000000" w:themeColor="text1"/>
          <w:sz w:val="24"/>
          <w:szCs w:val="24"/>
        </w:rPr>
      </w:pPr>
      <w:r>
        <w:rPr>
          <w:rFonts w:cstheme="minorHAnsi"/>
          <w:color w:val="000000" w:themeColor="text1"/>
          <w:sz w:val="24"/>
          <w:szCs w:val="24"/>
        </w:rPr>
        <w:t>ARDS conclamata. È la situazione più grave che necessita di ricovero in Reparti di Terapia Intensiva.</w:t>
      </w:r>
    </w:p>
    <w:p w:rsidR="00CB5FAD" w:rsidRDefault="00720A35">
      <w:pPr>
        <w:spacing w:after="0"/>
        <w:rPr>
          <w:rFonts w:cstheme="minorHAnsi"/>
          <w:color w:val="000000" w:themeColor="text1"/>
          <w:sz w:val="24"/>
          <w:szCs w:val="24"/>
        </w:rPr>
      </w:pPr>
      <w:r>
        <w:rPr>
          <w:rFonts w:cstheme="minorHAnsi"/>
          <w:color w:val="000000" w:themeColor="text1"/>
          <w:sz w:val="24"/>
          <w:szCs w:val="24"/>
        </w:rPr>
        <w:t>Le comorbidità maggiormente associate ai casi più gravi sono: età (specie superiore a 70 anni), Scompenso Cardiaco, Diabete Mellito, Insufficienza Renale Cronica e Obesità Le patologie polmonari (Asma e BPCO) non sembrano correlate ad aumento della gravità di malattia.</w:t>
      </w:r>
    </w:p>
    <w:p w:rsidR="00CB5FAD" w:rsidRDefault="00CB5FAD">
      <w:pPr>
        <w:pStyle w:val="NormaleWeb"/>
        <w:spacing w:beforeAutospacing="0" w:after="0" w:afterAutospacing="0"/>
        <w:rPr>
          <w:rFonts w:asciiTheme="minorHAnsi" w:hAnsiTheme="minorHAnsi" w:cstheme="minorHAnsi"/>
          <w:color w:val="000000" w:themeColor="text1"/>
        </w:rPr>
      </w:pPr>
    </w:p>
    <w:p w:rsidR="00CB5FAD" w:rsidRDefault="00720A35">
      <w:pPr>
        <w:pStyle w:val="NormaleWeb"/>
        <w:spacing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La malattia da COVID-19 presenta alcuni elementi particolari anche se non esclusivi:</w:t>
      </w:r>
    </w:p>
    <w:p w:rsidR="00CB5FAD" w:rsidRDefault="00720A35">
      <w:pPr>
        <w:pStyle w:val="NormaleWeb"/>
        <w:numPr>
          <w:ilvl w:val="0"/>
          <w:numId w:val="3"/>
        </w:numPr>
        <w:spacing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La dispnea a riposo poco avvertita specie dai giovani e dagli adulti ed evocabile solo con esercizi da sforzo (es. Walking test).</w:t>
      </w:r>
    </w:p>
    <w:p w:rsidR="00CB5FAD" w:rsidRDefault="00720A35">
      <w:pPr>
        <w:pStyle w:val="NormaleWeb"/>
        <w:numPr>
          <w:ilvl w:val="0"/>
          <w:numId w:val="3"/>
        </w:numPr>
        <w:spacing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L’infiammazione interstiziale con edema evidenziabile all’ecografia toracica e classificazione nei tipi “wet” (umido) e “dry” (secco) delle immagini ultrasoniche.</w:t>
      </w:r>
    </w:p>
    <w:p w:rsidR="00CB5FAD" w:rsidRDefault="00720A35">
      <w:pPr>
        <w:pStyle w:val="NormaleWeb"/>
        <w:numPr>
          <w:ilvl w:val="0"/>
          <w:numId w:val="3"/>
        </w:numPr>
        <w:spacing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Il coinvolgimento vascolare con quadri di micro-trombosi dei vasi polmonari, particolarmente evidente negli anziani probabilmente per la presenza di altre patologie (Malattie Cardiovascolari 30%, Ipertensione 30%, Diabete Mellito 20%, Malattie Respiratorie Croniche 8%, Patologie Oncologiche 6%) e la maggiore riduzione della mobilità in corso di malattia.</w:t>
      </w:r>
    </w:p>
    <w:p w:rsidR="00CB5FAD" w:rsidRDefault="00720A35">
      <w:pPr>
        <w:pStyle w:val="NormaleWeb"/>
        <w:numPr>
          <w:ilvl w:val="0"/>
          <w:numId w:val="3"/>
        </w:numPr>
        <w:spacing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La “tempesta” infiammatoria con l’attivazione dei molti processi di reazione, in particolar modo la cascata delle citochine, che giustifica l’impiego di farmaci antiinfiammatori, dal cortisone agli anticorpi monoclonali, anche se oggi, a distanza di 8-9 e mesi dall’inizio della pandemia, e quindi con una miglior conoscenza della malattia, sembrerebbero meno utili.</w:t>
      </w:r>
    </w:p>
    <w:p w:rsidR="00CB5FAD" w:rsidRDefault="00CB5FAD">
      <w:pPr>
        <w:rPr>
          <w:rFonts w:cstheme="minorHAnsi"/>
          <w:color w:val="000000" w:themeColor="text1"/>
          <w:sz w:val="24"/>
          <w:szCs w:val="24"/>
        </w:rPr>
      </w:pPr>
    </w:p>
    <w:p w:rsidR="00CB5FAD" w:rsidRDefault="00720A35">
      <w:pPr>
        <w:spacing w:after="0"/>
        <w:rPr>
          <w:rFonts w:cstheme="minorHAnsi"/>
          <w:b/>
          <w:bCs/>
          <w:color w:val="000000" w:themeColor="text1"/>
          <w:sz w:val="24"/>
          <w:szCs w:val="24"/>
        </w:rPr>
      </w:pPr>
      <w:r>
        <w:rPr>
          <w:rFonts w:cstheme="minorHAnsi"/>
          <w:b/>
          <w:bCs/>
          <w:color w:val="000000" w:themeColor="text1"/>
          <w:sz w:val="24"/>
          <w:szCs w:val="24"/>
        </w:rPr>
        <w:t xml:space="preserve">ASSISTENZA DOMICILIARE AL PAZIENTE COVID POSITIVO   </w:t>
      </w:r>
    </w:p>
    <w:p w:rsidR="00CB5FAD" w:rsidRDefault="00720A35">
      <w:pPr>
        <w:pStyle w:val="Paragrafoelenco"/>
        <w:numPr>
          <w:ilvl w:val="1"/>
          <w:numId w:val="4"/>
        </w:numPr>
        <w:spacing w:after="0"/>
        <w:rPr>
          <w:rFonts w:cstheme="minorHAnsi"/>
          <w:i/>
          <w:iCs/>
          <w:color w:val="000000" w:themeColor="text1"/>
          <w:sz w:val="24"/>
          <w:szCs w:val="24"/>
        </w:rPr>
      </w:pPr>
      <w:r>
        <w:rPr>
          <w:rFonts w:cstheme="minorHAnsi"/>
          <w:i/>
          <w:iCs/>
          <w:color w:val="000000" w:themeColor="text1"/>
          <w:sz w:val="24"/>
          <w:szCs w:val="24"/>
        </w:rPr>
        <w:t xml:space="preserve">Paziente asintomatico </w:t>
      </w:r>
    </w:p>
    <w:p w:rsidR="00CB5FAD" w:rsidRDefault="00720A35">
      <w:pPr>
        <w:pStyle w:val="Paragrafoelenco"/>
        <w:numPr>
          <w:ilvl w:val="2"/>
          <w:numId w:val="4"/>
        </w:numPr>
        <w:spacing w:after="0"/>
        <w:rPr>
          <w:rFonts w:cstheme="minorHAnsi"/>
          <w:color w:val="000000" w:themeColor="text1"/>
          <w:sz w:val="24"/>
          <w:szCs w:val="24"/>
        </w:rPr>
      </w:pPr>
      <w:r>
        <w:rPr>
          <w:rFonts w:cstheme="minorHAnsi"/>
          <w:color w:val="000000" w:themeColor="text1"/>
          <w:sz w:val="24"/>
          <w:szCs w:val="24"/>
        </w:rPr>
        <w:t>Rammentare le misure igieniche da adottare e mantenere;</w:t>
      </w:r>
    </w:p>
    <w:p w:rsidR="00CB5FAD" w:rsidRDefault="00720A35">
      <w:pPr>
        <w:pStyle w:val="Paragrafoelenco"/>
        <w:numPr>
          <w:ilvl w:val="2"/>
          <w:numId w:val="4"/>
        </w:numPr>
        <w:spacing w:after="0"/>
        <w:rPr>
          <w:rFonts w:cstheme="minorHAnsi"/>
          <w:color w:val="000000" w:themeColor="text1"/>
          <w:sz w:val="24"/>
          <w:szCs w:val="24"/>
        </w:rPr>
      </w:pPr>
      <w:r>
        <w:rPr>
          <w:rFonts w:cstheme="minorHAnsi"/>
          <w:color w:val="000000" w:themeColor="text1"/>
          <w:sz w:val="24"/>
          <w:szCs w:val="24"/>
        </w:rPr>
        <w:t>Redazione del diario personale di rilevazione della temperatura e della sintomatologia eventualmente subentrante;</w:t>
      </w:r>
    </w:p>
    <w:p w:rsidR="00CB5FAD" w:rsidRDefault="00720A35">
      <w:pPr>
        <w:pStyle w:val="Paragrafoelenco"/>
        <w:numPr>
          <w:ilvl w:val="2"/>
          <w:numId w:val="4"/>
        </w:numPr>
        <w:spacing w:after="0"/>
        <w:rPr>
          <w:rFonts w:cstheme="minorHAnsi"/>
          <w:color w:val="000000" w:themeColor="text1"/>
          <w:sz w:val="24"/>
          <w:szCs w:val="24"/>
        </w:rPr>
      </w:pPr>
      <w:r>
        <w:rPr>
          <w:rFonts w:cstheme="minorHAnsi"/>
          <w:color w:val="000000" w:themeColor="text1"/>
          <w:sz w:val="24"/>
          <w:szCs w:val="24"/>
        </w:rPr>
        <w:t>Indicazione degli elementi d’allarme da comunicare al curante.</w:t>
      </w:r>
    </w:p>
    <w:p w:rsidR="00CB5FAD" w:rsidRDefault="00720A35">
      <w:pPr>
        <w:pStyle w:val="Paragrafoelenco"/>
        <w:numPr>
          <w:ilvl w:val="1"/>
          <w:numId w:val="4"/>
        </w:numPr>
        <w:spacing w:after="0"/>
        <w:rPr>
          <w:rFonts w:cstheme="minorHAnsi"/>
          <w:i/>
          <w:iCs/>
          <w:color w:val="000000" w:themeColor="text1"/>
          <w:sz w:val="24"/>
          <w:szCs w:val="24"/>
        </w:rPr>
      </w:pPr>
      <w:r>
        <w:rPr>
          <w:rFonts w:cstheme="minorHAnsi"/>
          <w:i/>
          <w:iCs/>
          <w:color w:val="000000" w:themeColor="text1"/>
          <w:sz w:val="24"/>
          <w:szCs w:val="24"/>
        </w:rPr>
        <w:t xml:space="preserve">Paziente sintomatico con sintomatologia lieve-media, senza altre comorbidità  </w:t>
      </w:r>
    </w:p>
    <w:p w:rsidR="00CB5FAD" w:rsidRDefault="00720A35">
      <w:pPr>
        <w:pStyle w:val="Paragrafoelenco"/>
        <w:numPr>
          <w:ilvl w:val="2"/>
          <w:numId w:val="4"/>
        </w:numPr>
        <w:spacing w:after="0"/>
        <w:rPr>
          <w:rFonts w:cstheme="minorHAnsi"/>
          <w:color w:val="000000" w:themeColor="text1"/>
          <w:sz w:val="24"/>
          <w:szCs w:val="24"/>
        </w:rPr>
      </w:pPr>
      <w:r>
        <w:rPr>
          <w:rFonts w:cstheme="minorHAnsi"/>
          <w:color w:val="000000" w:themeColor="text1"/>
          <w:sz w:val="24"/>
          <w:szCs w:val="24"/>
        </w:rPr>
        <w:t>Le tre istruzioni dell’asintomatico +…</w:t>
      </w:r>
    </w:p>
    <w:p w:rsidR="00CB5FAD" w:rsidRDefault="00720A35">
      <w:pPr>
        <w:pStyle w:val="Paragrafoelenco"/>
        <w:numPr>
          <w:ilvl w:val="2"/>
          <w:numId w:val="4"/>
        </w:numPr>
        <w:spacing w:after="0"/>
        <w:rPr>
          <w:rFonts w:cstheme="minorHAnsi"/>
          <w:color w:val="000000" w:themeColor="text1"/>
          <w:sz w:val="24"/>
          <w:szCs w:val="24"/>
        </w:rPr>
      </w:pPr>
      <w:r>
        <w:rPr>
          <w:rFonts w:cstheme="minorHAnsi"/>
          <w:color w:val="000000" w:themeColor="text1"/>
          <w:sz w:val="24"/>
          <w:szCs w:val="24"/>
        </w:rPr>
        <w:lastRenderedPageBreak/>
        <w:t>Contatto quotidiano (telefonico o telematico) per registrazione della temperatura, valutazione della dispnea e saturazione d’ossigeno (Vedi in Appendice la Scheda di Monitoraggio. Va consigliato al paziente di dotarsi di un saturimetro, oggi facilmente reperibile nelle famacie e nelle sanitarie);</w:t>
      </w:r>
    </w:p>
    <w:p w:rsidR="00CB5FAD" w:rsidRDefault="00720A35">
      <w:pPr>
        <w:pStyle w:val="Paragrafoelenco"/>
        <w:numPr>
          <w:ilvl w:val="2"/>
          <w:numId w:val="4"/>
        </w:numPr>
        <w:spacing w:after="0"/>
        <w:rPr>
          <w:rFonts w:cstheme="minorHAnsi"/>
          <w:color w:val="000000" w:themeColor="text1"/>
          <w:sz w:val="24"/>
          <w:szCs w:val="24"/>
        </w:rPr>
      </w:pPr>
      <w:r>
        <w:rPr>
          <w:rFonts w:cstheme="minorHAnsi"/>
          <w:color w:val="000000" w:themeColor="text1"/>
          <w:sz w:val="24"/>
          <w:szCs w:val="24"/>
        </w:rPr>
        <w:t>Aumento dell’attenzione in 4^ o 5^ e 8^-10^ giornata.</w:t>
      </w:r>
    </w:p>
    <w:p w:rsidR="00CB5FAD" w:rsidRDefault="00720A35">
      <w:pPr>
        <w:pStyle w:val="Paragrafoelenco"/>
        <w:numPr>
          <w:ilvl w:val="1"/>
          <w:numId w:val="4"/>
        </w:numPr>
        <w:spacing w:after="0"/>
        <w:rPr>
          <w:rFonts w:cstheme="minorHAnsi"/>
          <w:i/>
          <w:iCs/>
          <w:color w:val="000000" w:themeColor="text1"/>
          <w:sz w:val="24"/>
          <w:szCs w:val="24"/>
        </w:rPr>
      </w:pPr>
      <w:r>
        <w:rPr>
          <w:rFonts w:cstheme="minorHAnsi"/>
          <w:i/>
          <w:iCs/>
          <w:color w:val="000000" w:themeColor="text1"/>
          <w:sz w:val="24"/>
          <w:szCs w:val="24"/>
        </w:rPr>
        <w:t xml:space="preserve">Paziente sintomatico fragile o con comorbidità: </w:t>
      </w:r>
    </w:p>
    <w:p w:rsidR="00CB5FAD" w:rsidRDefault="00720A35">
      <w:pPr>
        <w:pStyle w:val="Paragrafoelenco"/>
        <w:numPr>
          <w:ilvl w:val="2"/>
          <w:numId w:val="4"/>
        </w:numPr>
        <w:spacing w:after="0"/>
        <w:rPr>
          <w:rFonts w:cstheme="minorHAnsi"/>
          <w:color w:val="000000" w:themeColor="text1"/>
          <w:sz w:val="24"/>
          <w:szCs w:val="24"/>
        </w:rPr>
      </w:pPr>
      <w:r>
        <w:rPr>
          <w:rFonts w:cstheme="minorHAnsi"/>
          <w:color w:val="000000" w:themeColor="text1"/>
          <w:sz w:val="24"/>
          <w:szCs w:val="24"/>
        </w:rPr>
        <w:t>Le tre istruzioni del punto b, piu…</w:t>
      </w:r>
    </w:p>
    <w:p w:rsidR="00CB5FAD" w:rsidRDefault="00720A35">
      <w:pPr>
        <w:pStyle w:val="Paragrafoelenco"/>
        <w:numPr>
          <w:ilvl w:val="2"/>
          <w:numId w:val="4"/>
        </w:numPr>
        <w:spacing w:after="0"/>
        <w:rPr>
          <w:rFonts w:cstheme="minorHAnsi"/>
          <w:color w:val="000000" w:themeColor="text1"/>
          <w:sz w:val="24"/>
          <w:szCs w:val="24"/>
        </w:rPr>
      </w:pPr>
      <w:r>
        <w:rPr>
          <w:rFonts w:cstheme="minorHAnsi"/>
          <w:color w:val="000000" w:themeColor="text1"/>
          <w:sz w:val="24"/>
          <w:szCs w:val="24"/>
        </w:rPr>
        <w:t>Rilevazione quotidiana del MEWS (Modified Early Warning Score, vedi Appendice) con intensificazione del monitoraggio pere valori fino a 4 e ricovero se &gt; 6, sempre con informazioni per i colleghi;</w:t>
      </w:r>
    </w:p>
    <w:p w:rsidR="00CB5FAD" w:rsidRDefault="00720A35">
      <w:pPr>
        <w:pStyle w:val="Paragrafoelenco"/>
        <w:numPr>
          <w:ilvl w:val="2"/>
          <w:numId w:val="4"/>
        </w:numPr>
        <w:spacing w:after="0"/>
        <w:rPr>
          <w:rFonts w:cstheme="minorHAnsi"/>
          <w:color w:val="000000" w:themeColor="text1"/>
          <w:sz w:val="24"/>
          <w:szCs w:val="24"/>
        </w:rPr>
      </w:pPr>
      <w:r>
        <w:rPr>
          <w:rFonts w:cstheme="minorHAnsi"/>
          <w:color w:val="000000" w:themeColor="text1"/>
          <w:sz w:val="24"/>
          <w:szCs w:val="24"/>
        </w:rPr>
        <w:t>Monitoraggio della saturazione d’ossigeno (se il paziente non possiede una saturimetro si può supplire con il Test di Roth, vedi Appendice);</w:t>
      </w:r>
    </w:p>
    <w:p w:rsidR="00CB5FAD" w:rsidRDefault="00720A35">
      <w:pPr>
        <w:pStyle w:val="Paragrafoelenco"/>
        <w:numPr>
          <w:ilvl w:val="2"/>
          <w:numId w:val="4"/>
        </w:numPr>
        <w:spacing w:after="0"/>
        <w:rPr>
          <w:rFonts w:cstheme="minorHAnsi"/>
          <w:color w:val="000000" w:themeColor="text1"/>
          <w:sz w:val="24"/>
          <w:szCs w:val="24"/>
        </w:rPr>
      </w:pPr>
      <w:r>
        <w:rPr>
          <w:rFonts w:cstheme="minorHAnsi"/>
          <w:color w:val="000000" w:themeColor="text1"/>
          <w:sz w:val="24"/>
          <w:szCs w:val="24"/>
        </w:rPr>
        <w:t>Aggiustamento della terapia ordinaria;</w:t>
      </w:r>
    </w:p>
    <w:p w:rsidR="00CB5FAD" w:rsidRDefault="00720A35">
      <w:pPr>
        <w:pStyle w:val="Paragrafoelenco"/>
        <w:numPr>
          <w:ilvl w:val="2"/>
          <w:numId w:val="4"/>
        </w:numPr>
        <w:spacing w:after="0"/>
        <w:rPr>
          <w:rFonts w:cstheme="minorHAnsi"/>
          <w:color w:val="000000" w:themeColor="text1"/>
          <w:sz w:val="24"/>
          <w:szCs w:val="24"/>
        </w:rPr>
      </w:pPr>
      <w:r>
        <w:rPr>
          <w:rFonts w:cstheme="minorHAnsi"/>
          <w:color w:val="000000" w:themeColor="text1"/>
          <w:sz w:val="24"/>
          <w:szCs w:val="24"/>
        </w:rPr>
        <w:t>Modifica terapeutica dopo 3-4 giorni di sintomatologia (vedi Strategie Terapeutiche Farmacologiche su Base Empirica);</w:t>
      </w:r>
    </w:p>
    <w:p w:rsidR="00CB5FAD" w:rsidRDefault="00720A35">
      <w:pPr>
        <w:pStyle w:val="Paragrafoelenco"/>
        <w:numPr>
          <w:ilvl w:val="2"/>
          <w:numId w:val="4"/>
        </w:numPr>
        <w:spacing w:after="0"/>
        <w:rPr>
          <w:rFonts w:cstheme="minorHAnsi"/>
          <w:color w:val="000000" w:themeColor="text1"/>
          <w:sz w:val="24"/>
          <w:szCs w:val="24"/>
        </w:rPr>
      </w:pPr>
      <w:r>
        <w:rPr>
          <w:rFonts w:cstheme="minorHAnsi"/>
          <w:color w:val="000000" w:themeColor="text1"/>
          <w:sz w:val="24"/>
          <w:szCs w:val="24"/>
        </w:rPr>
        <w:t>Esecuzione di accertamento diagnostico di laboratorio da eseguire orientativamente dopo 5 giorni dall’inizio dei sintomi (Emocromo, PCR, Ionemia, Creatininemia, ALT, LDH, D-dimero (8)) tramite le USCA, Unita Speciali di Continuità Assistenziale, o i Servizi Distrettuali Domiciliari;</w:t>
      </w:r>
    </w:p>
    <w:p w:rsidR="00CB5FAD" w:rsidRDefault="00720A35">
      <w:pPr>
        <w:pStyle w:val="Paragrafoelenco"/>
        <w:numPr>
          <w:ilvl w:val="2"/>
          <w:numId w:val="4"/>
        </w:numPr>
        <w:spacing w:after="0"/>
        <w:rPr>
          <w:rFonts w:cstheme="minorHAnsi"/>
          <w:color w:val="000000" w:themeColor="text1"/>
          <w:sz w:val="24"/>
          <w:szCs w:val="24"/>
        </w:rPr>
      </w:pPr>
      <w:r>
        <w:rPr>
          <w:rFonts w:cstheme="minorHAnsi"/>
          <w:color w:val="000000" w:themeColor="text1"/>
          <w:sz w:val="24"/>
          <w:szCs w:val="24"/>
        </w:rPr>
        <w:t>Consulenza infettivologica/pneumologica per intensificazione o ossigenoterapia (vedi schemi di terapia empirica).</w:t>
      </w:r>
    </w:p>
    <w:p w:rsidR="00CB5FAD" w:rsidRDefault="00CB5FAD">
      <w:pPr>
        <w:spacing w:after="0"/>
        <w:rPr>
          <w:rFonts w:cstheme="minorHAnsi"/>
          <w:color w:val="000000" w:themeColor="text1"/>
          <w:sz w:val="24"/>
          <w:szCs w:val="24"/>
        </w:rPr>
      </w:pPr>
    </w:p>
    <w:p w:rsidR="00CB5FAD" w:rsidRDefault="00720A35">
      <w:pPr>
        <w:spacing w:after="0"/>
        <w:rPr>
          <w:rFonts w:cstheme="minorHAnsi"/>
          <w:b/>
          <w:bCs/>
          <w:color w:val="000000" w:themeColor="text1"/>
          <w:sz w:val="24"/>
          <w:szCs w:val="24"/>
        </w:rPr>
      </w:pPr>
      <w:r>
        <w:rPr>
          <w:rFonts w:cstheme="minorHAnsi"/>
          <w:b/>
          <w:bCs/>
          <w:color w:val="000000" w:themeColor="text1"/>
          <w:sz w:val="24"/>
          <w:szCs w:val="24"/>
        </w:rPr>
        <w:t>STRATEGIE TERAPEUTICHE FARMACOLOGICHE SU BASE EMPIRICA</w:t>
      </w:r>
    </w:p>
    <w:p w:rsidR="00CB5FAD" w:rsidRDefault="00720A35">
      <w:pPr>
        <w:pStyle w:val="Paragrafoelenco"/>
        <w:numPr>
          <w:ilvl w:val="0"/>
          <w:numId w:val="5"/>
        </w:numPr>
        <w:spacing w:after="0"/>
        <w:rPr>
          <w:rFonts w:cstheme="minorHAnsi"/>
          <w:b/>
          <w:i/>
          <w:iCs/>
          <w:color w:val="000000" w:themeColor="text1"/>
          <w:sz w:val="24"/>
          <w:szCs w:val="24"/>
        </w:rPr>
      </w:pPr>
      <w:r>
        <w:rPr>
          <w:rFonts w:cstheme="minorHAnsi"/>
          <w:b/>
          <w:i/>
          <w:iCs/>
          <w:color w:val="000000" w:themeColor="text1"/>
          <w:sz w:val="24"/>
          <w:szCs w:val="24"/>
        </w:rPr>
        <w:t xml:space="preserve">  Antipiretici</w:t>
      </w:r>
    </w:p>
    <w:p w:rsidR="00CB5FAD" w:rsidRDefault="00720A35">
      <w:pPr>
        <w:pStyle w:val="Paragrafoelenco"/>
        <w:numPr>
          <w:ilvl w:val="1"/>
          <w:numId w:val="5"/>
        </w:numPr>
        <w:spacing w:after="0"/>
        <w:rPr>
          <w:rFonts w:cstheme="minorHAnsi"/>
          <w:color w:val="000000" w:themeColor="text1"/>
          <w:sz w:val="24"/>
          <w:szCs w:val="24"/>
        </w:rPr>
      </w:pPr>
      <w:r>
        <w:rPr>
          <w:rFonts w:cstheme="minorHAnsi"/>
          <w:color w:val="000000" w:themeColor="text1"/>
          <w:sz w:val="24"/>
          <w:szCs w:val="24"/>
        </w:rPr>
        <w:t>Paracetamolo: 500 mg fino a sei volte al dì; oppure, se il Paracetamolo risultasse inefficace e/o ci fosse intolleranza e/o ci fossero sintomi accessori, Ibuprofene 400 x 4 volte die, o 600 x 3;</w:t>
      </w:r>
    </w:p>
    <w:p w:rsidR="00CB5FAD" w:rsidRPr="000E0ACF" w:rsidRDefault="00720A35" w:rsidP="000E0ACF">
      <w:pPr>
        <w:pStyle w:val="Paragrafoelenco"/>
        <w:numPr>
          <w:ilvl w:val="1"/>
          <w:numId w:val="5"/>
        </w:numPr>
        <w:spacing w:after="0"/>
        <w:rPr>
          <w:rFonts w:cstheme="minorHAnsi"/>
          <w:color w:val="000000" w:themeColor="text1"/>
          <w:sz w:val="24"/>
          <w:szCs w:val="24"/>
        </w:rPr>
      </w:pPr>
      <w:r>
        <w:rPr>
          <w:rFonts w:cstheme="minorHAnsi"/>
          <w:color w:val="000000" w:themeColor="text1"/>
          <w:sz w:val="24"/>
          <w:szCs w:val="24"/>
        </w:rPr>
        <w:t xml:space="preserve">Metamizolo 20 gtt tre volte al dì, in particolare se cefalea, con attenzione all’ipotensione </w:t>
      </w:r>
    </w:p>
    <w:p w:rsidR="00CB5FAD" w:rsidRDefault="00720A35">
      <w:pPr>
        <w:pStyle w:val="Paragrafoelenco"/>
        <w:numPr>
          <w:ilvl w:val="0"/>
          <w:numId w:val="5"/>
        </w:numPr>
        <w:spacing w:after="0"/>
        <w:rPr>
          <w:rFonts w:cstheme="minorHAnsi"/>
          <w:i/>
          <w:iCs/>
          <w:color w:val="000000" w:themeColor="text1"/>
          <w:sz w:val="24"/>
          <w:szCs w:val="24"/>
        </w:rPr>
      </w:pPr>
      <w:r>
        <w:rPr>
          <w:rFonts w:cstheme="minorHAnsi"/>
          <w:b/>
          <w:i/>
          <w:iCs/>
          <w:color w:val="000000" w:themeColor="text1"/>
          <w:sz w:val="24"/>
          <w:szCs w:val="24"/>
        </w:rPr>
        <w:t xml:space="preserve"> Antibatterici </w:t>
      </w:r>
      <w:r>
        <w:rPr>
          <w:rFonts w:cstheme="minorHAnsi"/>
          <w:color w:val="000000" w:themeColor="text1"/>
          <w:sz w:val="24"/>
          <w:szCs w:val="24"/>
        </w:rPr>
        <w:br/>
        <w:t xml:space="preserve">      se febbre superiore a 38°C in un paziente covid positivo oppure fortemente  </w:t>
      </w:r>
    </w:p>
    <w:p w:rsidR="00CB5FAD" w:rsidRDefault="00720A35">
      <w:pPr>
        <w:pStyle w:val="Paragrafoelenco"/>
        <w:spacing w:after="0"/>
        <w:ind w:left="1352"/>
        <w:rPr>
          <w:rFonts w:cstheme="minorHAnsi"/>
          <w:color w:val="000000" w:themeColor="text1"/>
          <w:sz w:val="24"/>
          <w:szCs w:val="24"/>
        </w:rPr>
      </w:pPr>
      <w:r>
        <w:rPr>
          <w:rFonts w:cstheme="minorHAnsi"/>
          <w:b/>
          <w:i/>
          <w:iCs/>
          <w:color w:val="000000" w:themeColor="text1"/>
          <w:sz w:val="24"/>
          <w:szCs w:val="24"/>
        </w:rPr>
        <w:t xml:space="preserve">      </w:t>
      </w:r>
      <w:r>
        <w:rPr>
          <w:rFonts w:cstheme="minorHAnsi"/>
          <w:color w:val="000000" w:themeColor="text1"/>
          <w:sz w:val="24"/>
          <w:szCs w:val="24"/>
        </w:rPr>
        <w:t xml:space="preserve">sospetto per covid, con sintomi e /o segni respiratori, usare anche precocemente </w:t>
      </w:r>
    </w:p>
    <w:p w:rsidR="00CB5FAD" w:rsidRDefault="00720A35">
      <w:pPr>
        <w:pStyle w:val="Paragrafoelenco"/>
        <w:spacing w:after="0"/>
        <w:ind w:left="1352"/>
        <w:rPr>
          <w:rFonts w:cstheme="minorHAnsi"/>
          <w:color w:val="000000" w:themeColor="text1"/>
          <w:sz w:val="24"/>
          <w:szCs w:val="24"/>
        </w:rPr>
      </w:pPr>
      <w:r>
        <w:rPr>
          <w:rFonts w:cstheme="minorHAnsi"/>
          <w:color w:val="000000" w:themeColor="text1"/>
          <w:sz w:val="24"/>
          <w:szCs w:val="24"/>
        </w:rPr>
        <w:t xml:space="preserve">      uno dei seguenti farmaci (9-11):</w:t>
      </w:r>
    </w:p>
    <w:p w:rsidR="00CB5FAD" w:rsidRDefault="00720A35">
      <w:pPr>
        <w:pStyle w:val="Paragrafoelenco"/>
        <w:numPr>
          <w:ilvl w:val="0"/>
          <w:numId w:val="6"/>
        </w:numPr>
        <w:spacing w:after="0"/>
        <w:rPr>
          <w:rFonts w:cstheme="minorHAnsi"/>
          <w:color w:val="000000" w:themeColor="text1"/>
          <w:sz w:val="24"/>
          <w:szCs w:val="24"/>
        </w:rPr>
      </w:pPr>
      <w:r>
        <w:rPr>
          <w:rFonts w:cstheme="minorHAnsi"/>
          <w:color w:val="000000" w:themeColor="text1"/>
          <w:sz w:val="24"/>
          <w:szCs w:val="24"/>
        </w:rPr>
        <w:t>Claritromicina 500 mg due volte al dì per 7 giorni almeno oppure Azitromicina 500 mg al di per 3 giorni, più eventualmente altri 3 giorni, dopo pausa di 3 giorni. L’uso di questo macrolide è preferito in campo pediatrico.</w:t>
      </w:r>
    </w:p>
    <w:p w:rsidR="00CB5FAD" w:rsidRDefault="00720A35">
      <w:pPr>
        <w:pStyle w:val="Paragrafoelenco"/>
        <w:numPr>
          <w:ilvl w:val="0"/>
          <w:numId w:val="6"/>
        </w:numPr>
        <w:spacing w:after="0"/>
        <w:rPr>
          <w:rFonts w:cstheme="minorHAnsi"/>
          <w:color w:val="000000" w:themeColor="text1"/>
          <w:sz w:val="24"/>
          <w:szCs w:val="24"/>
        </w:rPr>
      </w:pPr>
      <w:r>
        <w:rPr>
          <w:rFonts w:cstheme="minorHAnsi"/>
          <w:color w:val="000000" w:themeColor="text1"/>
          <w:sz w:val="24"/>
          <w:szCs w:val="24"/>
        </w:rPr>
        <w:t>Levofloxacina 750 (500+250)/die per 5-6 giorni.</w:t>
      </w:r>
    </w:p>
    <w:p w:rsidR="00CB5FAD" w:rsidRDefault="00CB5FAD">
      <w:pPr>
        <w:pStyle w:val="Paragrafoelenco"/>
        <w:spacing w:after="0"/>
        <w:ind w:left="1440"/>
        <w:rPr>
          <w:rFonts w:cstheme="minorHAnsi"/>
          <w:color w:val="000000" w:themeColor="text1"/>
          <w:sz w:val="24"/>
          <w:szCs w:val="24"/>
        </w:rPr>
      </w:pPr>
    </w:p>
    <w:p w:rsidR="00CB5FAD" w:rsidRDefault="00720A35">
      <w:pPr>
        <w:pStyle w:val="Paragrafoelenco"/>
        <w:spacing w:after="0"/>
        <w:ind w:left="1440"/>
        <w:rPr>
          <w:rFonts w:cstheme="minorHAnsi"/>
          <w:color w:val="000000" w:themeColor="text1"/>
          <w:sz w:val="24"/>
          <w:szCs w:val="24"/>
        </w:rPr>
      </w:pPr>
      <w:r>
        <w:rPr>
          <w:rFonts w:cstheme="minorHAnsi"/>
          <w:color w:val="000000" w:themeColor="text1"/>
          <w:sz w:val="24"/>
          <w:szCs w:val="24"/>
        </w:rPr>
        <w:t xml:space="preserve">     Nel sospetto di sovrainfezioni batteriche (es. escreato purulento) considerare  </w:t>
      </w:r>
    </w:p>
    <w:p w:rsidR="00CB5FAD" w:rsidRDefault="00720A35">
      <w:pPr>
        <w:pStyle w:val="Paragrafoelenco"/>
        <w:spacing w:after="0"/>
        <w:ind w:left="1440"/>
        <w:rPr>
          <w:rFonts w:cstheme="minorHAnsi"/>
          <w:color w:val="000000" w:themeColor="text1"/>
          <w:sz w:val="24"/>
          <w:szCs w:val="24"/>
        </w:rPr>
      </w:pPr>
      <w:r>
        <w:rPr>
          <w:rFonts w:cstheme="minorHAnsi"/>
          <w:color w:val="000000" w:themeColor="text1"/>
          <w:sz w:val="24"/>
          <w:szCs w:val="24"/>
        </w:rPr>
        <w:t xml:space="preserve">     anche l’uso di Cefditoren 400 1 x 2 per 5 giorni oppure Amoxicillina+Acido </w:t>
      </w:r>
    </w:p>
    <w:p w:rsidR="00CB5FAD" w:rsidRDefault="00720A35">
      <w:pPr>
        <w:pStyle w:val="Paragrafoelenco"/>
        <w:spacing w:after="0"/>
        <w:ind w:left="1440"/>
        <w:rPr>
          <w:rFonts w:cstheme="minorHAnsi"/>
          <w:color w:val="000000" w:themeColor="text1"/>
          <w:sz w:val="24"/>
          <w:szCs w:val="24"/>
        </w:rPr>
      </w:pPr>
      <w:r>
        <w:rPr>
          <w:rFonts w:cstheme="minorHAnsi"/>
          <w:color w:val="000000" w:themeColor="text1"/>
          <w:sz w:val="24"/>
          <w:szCs w:val="24"/>
        </w:rPr>
        <w:t xml:space="preserve">     Clavulanico (850+150 mg) x 3/die x 5 giorni. In alternativa alla via orale, </w:t>
      </w:r>
    </w:p>
    <w:p w:rsidR="00CB5FAD" w:rsidRDefault="00720A35" w:rsidP="000E0ACF">
      <w:pPr>
        <w:pStyle w:val="Paragrafoelenco"/>
        <w:spacing w:after="0"/>
        <w:ind w:left="1440"/>
        <w:rPr>
          <w:rFonts w:cstheme="minorHAnsi"/>
          <w:color w:val="000000" w:themeColor="text1"/>
          <w:sz w:val="24"/>
          <w:szCs w:val="24"/>
        </w:rPr>
      </w:pPr>
      <w:r>
        <w:rPr>
          <w:rFonts w:cstheme="minorHAnsi"/>
          <w:color w:val="000000" w:themeColor="text1"/>
          <w:sz w:val="24"/>
          <w:szCs w:val="24"/>
        </w:rPr>
        <w:t xml:space="preserve">     Ceftriaxone fl 2 gr die in monodose per 5 giorni.</w:t>
      </w:r>
    </w:p>
    <w:p w:rsidR="00CB5FAD" w:rsidRDefault="00720A35">
      <w:pPr>
        <w:pStyle w:val="Paragrafoelenco"/>
        <w:numPr>
          <w:ilvl w:val="0"/>
          <w:numId w:val="5"/>
        </w:numPr>
        <w:spacing w:after="0"/>
        <w:rPr>
          <w:rFonts w:cstheme="minorHAnsi"/>
          <w:b/>
          <w:i/>
          <w:iCs/>
          <w:color w:val="000000" w:themeColor="text1"/>
          <w:sz w:val="24"/>
          <w:szCs w:val="24"/>
        </w:rPr>
      </w:pPr>
      <w:r>
        <w:rPr>
          <w:rFonts w:cstheme="minorHAnsi"/>
          <w:b/>
          <w:i/>
          <w:iCs/>
          <w:color w:val="000000" w:themeColor="text1"/>
          <w:sz w:val="24"/>
          <w:szCs w:val="24"/>
        </w:rPr>
        <w:lastRenderedPageBreak/>
        <w:t>Corticosteroidi</w:t>
      </w:r>
    </w:p>
    <w:p w:rsidR="00CB5FAD" w:rsidRDefault="00720A35">
      <w:pPr>
        <w:spacing w:after="0"/>
        <w:ind w:left="1980"/>
        <w:rPr>
          <w:rFonts w:cstheme="minorHAnsi"/>
          <w:color w:val="000000" w:themeColor="text1"/>
          <w:sz w:val="24"/>
          <w:szCs w:val="24"/>
        </w:rPr>
      </w:pPr>
      <w:r>
        <w:rPr>
          <w:rFonts w:cstheme="minorHAnsi"/>
          <w:color w:val="000000" w:themeColor="text1"/>
          <w:sz w:val="24"/>
          <w:szCs w:val="24"/>
        </w:rPr>
        <w:t>Trovandoci nella situazione di cui al punto b, e persistendo la febbre e i sintomi/segni respiratori, può essere opportuno trattare il paziente anche con una piccola dose di cortisone, a fini antiedemigeni (12,13) Per esempio: Prednisone 25 mg/die x 5 gg, poi 12.5 mg/die per altri 5 giorni oppure Metilprednisolone (4 mg equivalgono a 5 di Prednisone).</w:t>
      </w:r>
    </w:p>
    <w:p w:rsidR="00CB5FAD" w:rsidRDefault="00720A35">
      <w:pPr>
        <w:pStyle w:val="Paragrafoelenco"/>
        <w:numPr>
          <w:ilvl w:val="0"/>
          <w:numId w:val="5"/>
        </w:numPr>
        <w:spacing w:after="0"/>
        <w:rPr>
          <w:rFonts w:cstheme="minorHAnsi"/>
          <w:b/>
          <w:i/>
          <w:iCs/>
          <w:color w:val="000000" w:themeColor="text1"/>
          <w:sz w:val="24"/>
          <w:szCs w:val="24"/>
        </w:rPr>
      </w:pPr>
      <w:r>
        <w:rPr>
          <w:rFonts w:cstheme="minorHAnsi"/>
          <w:b/>
          <w:i/>
          <w:iCs/>
          <w:color w:val="000000" w:themeColor="text1"/>
          <w:sz w:val="24"/>
          <w:szCs w:val="24"/>
        </w:rPr>
        <w:t>Idrossiclorochina</w:t>
      </w:r>
    </w:p>
    <w:p w:rsidR="00CB5FAD" w:rsidRDefault="00720A35">
      <w:pPr>
        <w:pStyle w:val="Paragrafoelenco"/>
        <w:spacing w:after="0"/>
        <w:ind w:left="2160"/>
        <w:rPr>
          <w:rFonts w:cstheme="minorHAnsi"/>
          <w:color w:val="000000" w:themeColor="text1"/>
          <w:sz w:val="24"/>
          <w:szCs w:val="24"/>
        </w:rPr>
      </w:pPr>
      <w:r>
        <w:rPr>
          <w:rFonts w:cstheme="minorHAnsi"/>
          <w:color w:val="000000" w:themeColor="text1"/>
          <w:sz w:val="24"/>
          <w:szCs w:val="24"/>
        </w:rPr>
        <w:t xml:space="preserve">L’Idrossiclorochina ha inizialmente destato molto interesse per l’efficacia dimostrata nella cura della SARS1. Ad oggi la maggior parte degli studi non abilita il farmaco, anche se bisogna dire che in questi studi i pazienti venivano trattati in fase avanzata (14). Va ricordato che l’AIFa (Agenzia Italiana del Farmaco) non ha approvato l’uso di questo farmaco, nemmeno off label (15). </w:t>
      </w:r>
    </w:p>
    <w:p w:rsidR="00CB5FAD" w:rsidRDefault="00720A35">
      <w:pPr>
        <w:pStyle w:val="Paragrafoelenco"/>
        <w:numPr>
          <w:ilvl w:val="0"/>
          <w:numId w:val="5"/>
        </w:numPr>
        <w:spacing w:after="0"/>
        <w:rPr>
          <w:rFonts w:cstheme="minorHAnsi"/>
          <w:i/>
          <w:iCs/>
          <w:color w:val="000000" w:themeColor="text1"/>
          <w:sz w:val="24"/>
          <w:szCs w:val="24"/>
        </w:rPr>
      </w:pPr>
      <w:r>
        <w:rPr>
          <w:rFonts w:cstheme="minorHAnsi"/>
          <w:b/>
          <w:i/>
          <w:iCs/>
          <w:color w:val="000000" w:themeColor="text1"/>
          <w:sz w:val="24"/>
          <w:szCs w:val="24"/>
        </w:rPr>
        <w:t xml:space="preserve">Ossigeno </w:t>
      </w:r>
      <w:r>
        <w:rPr>
          <w:rFonts w:cstheme="minorHAnsi"/>
          <w:i/>
          <w:iCs/>
          <w:color w:val="000000" w:themeColor="text1"/>
          <w:sz w:val="24"/>
          <w:szCs w:val="24"/>
        </w:rPr>
        <w:t>(con occhialini)</w:t>
      </w:r>
    </w:p>
    <w:p w:rsidR="00CB5FAD" w:rsidRDefault="00720A35">
      <w:pPr>
        <w:pStyle w:val="Paragrafoelenco"/>
        <w:spacing w:after="0"/>
        <w:ind w:left="2160"/>
        <w:rPr>
          <w:rFonts w:cstheme="minorHAnsi"/>
          <w:color w:val="000000" w:themeColor="text1"/>
          <w:sz w:val="24"/>
          <w:szCs w:val="24"/>
        </w:rPr>
      </w:pPr>
      <w:r>
        <w:rPr>
          <w:rFonts w:cstheme="minorHAnsi"/>
          <w:color w:val="000000" w:themeColor="text1"/>
          <w:sz w:val="24"/>
          <w:szCs w:val="24"/>
        </w:rPr>
        <w:t>1-2 lt/min quando la saturazione di O2 è &lt; 90%, per arrivare ad una saturazione di 93-94%, altrimenti si può aumentare a 3 lt/min ed applicare la mascherina. L’ossigeno è disponibile nelle farmacie (su richiesta diretta del curante: una bombola di ossigeno gassoso di 3000 lt dura mediamente 2 giorni) e nei distretti (con compilazione diretta del modulo regionale apposito, fino a 60 giorni di terapia).</w:t>
      </w:r>
    </w:p>
    <w:p w:rsidR="00CB5FAD" w:rsidRDefault="00720A35">
      <w:pPr>
        <w:pStyle w:val="Paragrafoelenco"/>
        <w:numPr>
          <w:ilvl w:val="0"/>
          <w:numId w:val="5"/>
        </w:numPr>
        <w:spacing w:after="0"/>
        <w:rPr>
          <w:rFonts w:cstheme="minorHAnsi"/>
          <w:b/>
          <w:i/>
          <w:iCs/>
          <w:color w:val="000000" w:themeColor="text1"/>
          <w:sz w:val="24"/>
          <w:szCs w:val="24"/>
        </w:rPr>
      </w:pPr>
      <w:r>
        <w:rPr>
          <w:rFonts w:cstheme="minorHAnsi"/>
          <w:b/>
          <w:i/>
          <w:iCs/>
          <w:color w:val="000000" w:themeColor="text1"/>
          <w:sz w:val="24"/>
          <w:szCs w:val="24"/>
        </w:rPr>
        <w:t>Anticoagulanti</w:t>
      </w:r>
    </w:p>
    <w:p w:rsidR="00CB5FAD" w:rsidRDefault="00720A35">
      <w:pPr>
        <w:spacing w:after="0"/>
        <w:rPr>
          <w:rFonts w:cstheme="minorHAnsi"/>
          <w:color w:val="000000" w:themeColor="text1"/>
          <w:sz w:val="24"/>
          <w:szCs w:val="24"/>
        </w:rPr>
      </w:pPr>
      <w:r>
        <w:rPr>
          <w:rFonts w:cstheme="minorHAnsi"/>
          <w:color w:val="000000" w:themeColor="text1"/>
          <w:sz w:val="24"/>
          <w:szCs w:val="24"/>
        </w:rPr>
        <w:t xml:space="preserve">                                       Da somministrare come profilassi (es. Enoxaparina 4000 UI/die) </w:t>
      </w:r>
    </w:p>
    <w:p w:rsidR="00CB5FAD" w:rsidRDefault="00720A35">
      <w:pPr>
        <w:spacing w:after="0"/>
        <w:rPr>
          <w:rFonts w:cstheme="minorHAnsi"/>
          <w:color w:val="000000" w:themeColor="text1"/>
          <w:sz w:val="24"/>
          <w:szCs w:val="24"/>
        </w:rPr>
      </w:pPr>
      <w:r>
        <w:rPr>
          <w:rFonts w:cstheme="minorHAnsi"/>
          <w:color w:val="000000" w:themeColor="text1"/>
          <w:sz w:val="24"/>
          <w:szCs w:val="24"/>
        </w:rPr>
        <w:t xml:space="preserve">                                       solo in pazienti che presentino un quadro respiratorio e siano allettati o </w:t>
      </w:r>
    </w:p>
    <w:p w:rsidR="00CB5FAD" w:rsidRDefault="00720A35">
      <w:pPr>
        <w:spacing w:after="0"/>
        <w:rPr>
          <w:rFonts w:cstheme="minorHAnsi"/>
          <w:color w:val="000000" w:themeColor="text1"/>
          <w:sz w:val="24"/>
          <w:szCs w:val="24"/>
        </w:rPr>
      </w:pPr>
      <w:r>
        <w:rPr>
          <w:rFonts w:cstheme="minorHAnsi"/>
          <w:color w:val="000000" w:themeColor="text1"/>
          <w:sz w:val="24"/>
          <w:szCs w:val="24"/>
        </w:rPr>
        <w:t xml:space="preserve">                                       abbiano una bassa mobilità per obesità, malattie neurologiche o </w:t>
      </w:r>
    </w:p>
    <w:p w:rsidR="00CB5FAD" w:rsidRDefault="00720A35">
      <w:pPr>
        <w:spacing w:after="0"/>
        <w:rPr>
          <w:rFonts w:cstheme="minorHAnsi"/>
          <w:color w:val="000000" w:themeColor="text1"/>
          <w:sz w:val="24"/>
          <w:szCs w:val="24"/>
        </w:rPr>
      </w:pPr>
      <w:r>
        <w:rPr>
          <w:rFonts w:cstheme="minorHAnsi"/>
          <w:color w:val="000000" w:themeColor="text1"/>
          <w:sz w:val="24"/>
          <w:szCs w:val="24"/>
        </w:rPr>
        <w:t xml:space="preserve">                                       osteoarticolari, o una storia di pregresso tromboembolismo. Ricordiamo che </w:t>
      </w:r>
    </w:p>
    <w:p w:rsidR="00CB5FAD" w:rsidRDefault="00720A35">
      <w:pPr>
        <w:spacing w:after="0"/>
        <w:rPr>
          <w:rFonts w:cstheme="minorHAnsi"/>
          <w:color w:val="000000" w:themeColor="text1"/>
          <w:sz w:val="24"/>
          <w:szCs w:val="24"/>
        </w:rPr>
      </w:pPr>
      <w:r>
        <w:rPr>
          <w:rFonts w:cstheme="minorHAnsi"/>
          <w:color w:val="000000" w:themeColor="text1"/>
          <w:sz w:val="24"/>
          <w:szCs w:val="24"/>
        </w:rPr>
        <w:t xml:space="preserve">                                       il dosaggio, trattandosi di profilassi, è indipendente dal peso.</w:t>
      </w:r>
    </w:p>
    <w:p w:rsidR="00CB5FAD" w:rsidRDefault="00720A35">
      <w:pPr>
        <w:pStyle w:val="Paragrafoelenco"/>
        <w:numPr>
          <w:ilvl w:val="0"/>
          <w:numId w:val="5"/>
        </w:numPr>
        <w:spacing w:after="0"/>
        <w:rPr>
          <w:rFonts w:cstheme="minorHAnsi"/>
          <w:color w:val="000000" w:themeColor="text1"/>
          <w:sz w:val="24"/>
          <w:szCs w:val="24"/>
        </w:rPr>
      </w:pPr>
      <w:r>
        <w:rPr>
          <w:rFonts w:cstheme="minorHAnsi"/>
          <w:b/>
          <w:i/>
          <w:iCs/>
          <w:color w:val="000000" w:themeColor="text1"/>
          <w:sz w:val="24"/>
          <w:szCs w:val="24"/>
        </w:rPr>
        <w:t>Integratori e vitamine</w:t>
      </w:r>
    </w:p>
    <w:p w:rsidR="00CB5FAD" w:rsidRDefault="00720A35">
      <w:pPr>
        <w:pStyle w:val="Paragrafoelenco"/>
        <w:spacing w:after="0"/>
        <w:ind w:left="2160"/>
        <w:rPr>
          <w:rFonts w:cstheme="minorHAnsi"/>
          <w:color w:val="000000" w:themeColor="text1"/>
          <w:sz w:val="24"/>
          <w:szCs w:val="24"/>
        </w:rPr>
      </w:pPr>
      <w:r>
        <w:rPr>
          <w:rFonts w:cstheme="minorHAnsi"/>
          <w:color w:val="000000" w:themeColor="text1"/>
          <w:sz w:val="24"/>
          <w:szCs w:val="24"/>
        </w:rPr>
        <w:t>Da alcuni autori è ritenuta utile l’utilizzazione di Nutraceutici a base di Vitamina D (esempio: Colecalciferolo 25.000 U/settimana per 8 settimane), Zinco, Selenio, Magnesio, Resveratrolo e Curcuma naturale, che avrebbero l’effetto di potenziare il sistema immunitario e un effetto antivirale (16).</w:t>
      </w:r>
    </w:p>
    <w:p w:rsidR="00CB5FAD" w:rsidRDefault="00CB5FAD">
      <w:pPr>
        <w:spacing w:after="0"/>
        <w:rPr>
          <w:rFonts w:cstheme="minorHAnsi"/>
          <w:color w:val="000000" w:themeColor="text1"/>
          <w:sz w:val="24"/>
          <w:szCs w:val="24"/>
        </w:rPr>
      </w:pPr>
    </w:p>
    <w:p w:rsidR="00CB5FAD" w:rsidRDefault="00720A35">
      <w:pPr>
        <w:spacing w:after="0"/>
        <w:rPr>
          <w:rFonts w:cstheme="minorHAnsi"/>
          <w:b/>
          <w:bCs/>
          <w:color w:val="000000" w:themeColor="text1"/>
          <w:sz w:val="24"/>
          <w:szCs w:val="24"/>
        </w:rPr>
      </w:pPr>
      <w:r>
        <w:rPr>
          <w:rFonts w:cstheme="minorHAnsi"/>
          <w:b/>
          <w:bCs/>
          <w:color w:val="000000" w:themeColor="text1"/>
          <w:sz w:val="24"/>
          <w:szCs w:val="24"/>
        </w:rPr>
        <w:t xml:space="preserve">    STRATEGIE TERAPEUTICHE NON FARMACOLOGICHE</w:t>
      </w:r>
    </w:p>
    <w:p w:rsidR="00CB5FAD" w:rsidRDefault="00720A35">
      <w:pPr>
        <w:pStyle w:val="Paragrafoelenco"/>
        <w:numPr>
          <w:ilvl w:val="1"/>
          <w:numId w:val="5"/>
        </w:numPr>
        <w:spacing w:after="0"/>
        <w:rPr>
          <w:rFonts w:cstheme="minorHAnsi"/>
          <w:i/>
          <w:iCs/>
          <w:color w:val="000000" w:themeColor="text1"/>
          <w:sz w:val="24"/>
          <w:szCs w:val="24"/>
        </w:rPr>
      </w:pPr>
      <w:r>
        <w:rPr>
          <w:rFonts w:cstheme="minorHAnsi"/>
          <w:i/>
          <w:iCs/>
          <w:color w:val="000000" w:themeColor="text1"/>
          <w:sz w:val="24"/>
          <w:szCs w:val="24"/>
        </w:rPr>
        <w:t>Idratazione</w:t>
      </w:r>
    </w:p>
    <w:p w:rsidR="00CB5FAD" w:rsidRDefault="00720A35">
      <w:pPr>
        <w:pStyle w:val="Paragrafoelenco"/>
        <w:spacing w:after="0"/>
        <w:ind w:left="2792"/>
        <w:rPr>
          <w:rFonts w:cstheme="minorHAnsi"/>
          <w:color w:val="000000" w:themeColor="text1"/>
          <w:sz w:val="24"/>
          <w:szCs w:val="24"/>
        </w:rPr>
      </w:pPr>
      <w:r>
        <w:rPr>
          <w:rFonts w:cstheme="minorHAnsi"/>
          <w:color w:val="000000" w:themeColor="text1"/>
          <w:sz w:val="24"/>
          <w:szCs w:val="24"/>
        </w:rPr>
        <w:t>Importante la verifica dello stato delle mucose e il consiglio ad assumere almeno due litri di liquidi al giorno. Particolare attenzione nell’anziano che ha ridotto il senso della sete e, per motivi opposti, cautela nei cardiopatici, nefropatici ed epatopatici.</w:t>
      </w:r>
    </w:p>
    <w:p w:rsidR="00CB5FAD" w:rsidRDefault="00720A35">
      <w:pPr>
        <w:pStyle w:val="Paragrafoelenco"/>
        <w:numPr>
          <w:ilvl w:val="1"/>
          <w:numId w:val="5"/>
        </w:numPr>
        <w:spacing w:after="0"/>
        <w:rPr>
          <w:rFonts w:cstheme="minorHAnsi"/>
          <w:i/>
          <w:iCs/>
          <w:color w:val="000000" w:themeColor="text1"/>
          <w:sz w:val="24"/>
          <w:szCs w:val="24"/>
        </w:rPr>
      </w:pPr>
      <w:r>
        <w:rPr>
          <w:rFonts w:cstheme="minorHAnsi"/>
          <w:i/>
          <w:iCs/>
          <w:color w:val="000000" w:themeColor="text1"/>
          <w:sz w:val="24"/>
          <w:szCs w:val="24"/>
        </w:rPr>
        <w:t xml:space="preserve">Attività motoria </w:t>
      </w:r>
    </w:p>
    <w:p w:rsidR="00CB5FAD" w:rsidRDefault="00720A35">
      <w:pPr>
        <w:pStyle w:val="Paragrafoelenco"/>
        <w:numPr>
          <w:ilvl w:val="2"/>
          <w:numId w:val="5"/>
        </w:numPr>
        <w:spacing w:after="0"/>
        <w:rPr>
          <w:rFonts w:cstheme="minorHAnsi"/>
          <w:color w:val="000000" w:themeColor="text1"/>
          <w:sz w:val="24"/>
          <w:szCs w:val="24"/>
        </w:rPr>
      </w:pPr>
      <w:r>
        <w:rPr>
          <w:rFonts w:cstheme="minorHAnsi"/>
          <w:color w:val="000000" w:themeColor="text1"/>
          <w:sz w:val="24"/>
          <w:szCs w:val="24"/>
        </w:rPr>
        <w:t>Consigliare la deambulazione anche nella stanza (almeno 2000 passi al giorno).</w:t>
      </w:r>
    </w:p>
    <w:p w:rsidR="00CB5FAD" w:rsidRDefault="00720A35">
      <w:pPr>
        <w:pStyle w:val="Paragrafoelenco"/>
        <w:numPr>
          <w:ilvl w:val="2"/>
          <w:numId w:val="5"/>
        </w:numPr>
        <w:spacing w:after="0"/>
        <w:rPr>
          <w:rFonts w:cstheme="minorHAnsi"/>
          <w:color w:val="000000" w:themeColor="text1"/>
          <w:sz w:val="24"/>
          <w:szCs w:val="24"/>
        </w:rPr>
      </w:pPr>
      <w:r>
        <w:rPr>
          <w:rFonts w:cstheme="minorHAnsi"/>
          <w:color w:val="000000" w:themeColor="text1"/>
          <w:sz w:val="24"/>
          <w:szCs w:val="24"/>
        </w:rPr>
        <w:t>Suggerire esercizi statici (5BX e XBX Exercises) (17,18) nei non allettati, per mantenere la tonicità.</w:t>
      </w:r>
    </w:p>
    <w:p w:rsidR="00CB5FAD" w:rsidRDefault="00720A35">
      <w:pPr>
        <w:pStyle w:val="Paragrafoelenco"/>
        <w:numPr>
          <w:ilvl w:val="1"/>
          <w:numId w:val="5"/>
        </w:numPr>
        <w:spacing w:after="0"/>
        <w:rPr>
          <w:rFonts w:cstheme="minorHAnsi"/>
          <w:i/>
          <w:iCs/>
          <w:color w:val="000000" w:themeColor="text1"/>
          <w:sz w:val="24"/>
          <w:szCs w:val="24"/>
        </w:rPr>
      </w:pPr>
      <w:r>
        <w:rPr>
          <w:rFonts w:cstheme="minorHAnsi"/>
          <w:i/>
          <w:iCs/>
          <w:color w:val="000000" w:themeColor="text1"/>
          <w:sz w:val="24"/>
          <w:szCs w:val="24"/>
        </w:rPr>
        <w:t>Posturologia</w:t>
      </w:r>
    </w:p>
    <w:p w:rsidR="00CB5FAD" w:rsidRDefault="00720A35">
      <w:pPr>
        <w:spacing w:after="0"/>
        <w:ind w:left="2612" w:firstLine="100"/>
        <w:rPr>
          <w:rFonts w:cstheme="minorHAnsi"/>
          <w:color w:val="000000" w:themeColor="text1"/>
          <w:sz w:val="24"/>
          <w:szCs w:val="24"/>
        </w:rPr>
      </w:pPr>
      <w:r>
        <w:rPr>
          <w:rFonts w:cstheme="minorHAnsi"/>
          <w:color w:val="000000" w:themeColor="text1"/>
          <w:sz w:val="24"/>
          <w:szCs w:val="24"/>
        </w:rPr>
        <w:lastRenderedPageBreak/>
        <w:t xml:space="preserve">Pronazione o decubito laterale nei pazienti con saturazione O2 &lt; 94%  </w:t>
      </w:r>
    </w:p>
    <w:p w:rsidR="00CB5FAD" w:rsidRDefault="00720A35">
      <w:pPr>
        <w:spacing w:after="0"/>
        <w:ind w:left="2612" w:firstLine="100"/>
        <w:rPr>
          <w:rFonts w:cstheme="minorHAnsi"/>
          <w:color w:val="000000" w:themeColor="text1"/>
          <w:sz w:val="24"/>
          <w:szCs w:val="24"/>
        </w:rPr>
      </w:pPr>
      <w:r>
        <w:rPr>
          <w:rFonts w:cstheme="minorHAnsi"/>
          <w:color w:val="000000" w:themeColor="text1"/>
          <w:sz w:val="24"/>
          <w:szCs w:val="24"/>
        </w:rPr>
        <w:t xml:space="preserve">o con tosse produttiva; tale postura favorisce il reclutamento alveolare  </w:t>
      </w:r>
    </w:p>
    <w:p w:rsidR="00CB5FAD" w:rsidRDefault="00720A35">
      <w:pPr>
        <w:spacing w:after="0"/>
        <w:ind w:left="2612" w:firstLine="100"/>
        <w:rPr>
          <w:rFonts w:cstheme="minorHAnsi"/>
          <w:color w:val="000000" w:themeColor="text1"/>
          <w:sz w:val="24"/>
          <w:szCs w:val="24"/>
        </w:rPr>
      </w:pPr>
      <w:r>
        <w:rPr>
          <w:rFonts w:cstheme="minorHAnsi"/>
          <w:color w:val="000000" w:themeColor="text1"/>
          <w:sz w:val="24"/>
          <w:szCs w:val="24"/>
        </w:rPr>
        <w:t>e lo scambio gassoso.</w:t>
      </w:r>
    </w:p>
    <w:p w:rsidR="00CB5FAD" w:rsidRDefault="00CB5FAD">
      <w:pPr>
        <w:spacing w:after="0"/>
        <w:rPr>
          <w:rFonts w:cstheme="minorHAnsi"/>
          <w:color w:val="000000" w:themeColor="text1"/>
          <w:sz w:val="24"/>
          <w:szCs w:val="24"/>
        </w:rPr>
      </w:pPr>
    </w:p>
    <w:p w:rsidR="00CB5FAD" w:rsidRDefault="00CB5FAD">
      <w:pPr>
        <w:spacing w:after="0"/>
        <w:rPr>
          <w:rFonts w:cstheme="minorHAnsi"/>
          <w:color w:val="000000" w:themeColor="text1"/>
          <w:sz w:val="24"/>
          <w:szCs w:val="24"/>
        </w:rPr>
      </w:pPr>
    </w:p>
    <w:p w:rsidR="00CB5FAD" w:rsidRDefault="00CB5FAD">
      <w:pPr>
        <w:spacing w:after="0"/>
        <w:rPr>
          <w:rFonts w:cstheme="minorHAnsi"/>
          <w:color w:val="000000" w:themeColor="text1"/>
          <w:sz w:val="24"/>
          <w:szCs w:val="24"/>
        </w:rPr>
      </w:pPr>
    </w:p>
    <w:p w:rsidR="00CB5FAD" w:rsidRDefault="00720A35">
      <w:pPr>
        <w:spacing w:after="0"/>
        <w:rPr>
          <w:rFonts w:cstheme="minorHAnsi"/>
          <w:color w:val="000000" w:themeColor="text1"/>
          <w:sz w:val="24"/>
          <w:szCs w:val="24"/>
        </w:rPr>
      </w:pPr>
      <w:r>
        <w:rPr>
          <w:rFonts w:cstheme="minorHAnsi"/>
          <w:color w:val="000000" w:themeColor="text1"/>
          <w:sz w:val="24"/>
          <w:szCs w:val="24"/>
        </w:rPr>
        <w:t xml:space="preserve">  </w:t>
      </w:r>
    </w:p>
    <w:p w:rsidR="00CB5FAD" w:rsidRDefault="00720A35">
      <w:pPr>
        <w:spacing w:after="0"/>
        <w:rPr>
          <w:rFonts w:cstheme="minorHAnsi"/>
          <w:color w:val="000000" w:themeColor="text1"/>
          <w:sz w:val="24"/>
          <w:szCs w:val="24"/>
        </w:rPr>
      </w:pPr>
      <w:r>
        <w:rPr>
          <w:rFonts w:cstheme="minorHAnsi"/>
          <w:color w:val="000000" w:themeColor="text1"/>
          <w:sz w:val="24"/>
          <w:szCs w:val="24"/>
        </w:rPr>
        <w:t xml:space="preserve"> </w:t>
      </w:r>
    </w:p>
    <w:p w:rsidR="00CB5FAD" w:rsidRDefault="00720A35">
      <w:pPr>
        <w:spacing w:after="0"/>
        <w:jc w:val="center"/>
        <w:rPr>
          <w:rFonts w:cstheme="minorHAnsi"/>
          <w:color w:val="000000" w:themeColor="text1"/>
          <w:sz w:val="24"/>
          <w:szCs w:val="24"/>
        </w:rPr>
      </w:pPr>
      <w:r>
        <w:rPr>
          <w:rFonts w:cstheme="minorHAnsi"/>
          <w:b/>
          <w:color w:val="000000" w:themeColor="text1"/>
        </w:rPr>
        <w:t>APPENDICE</w:t>
      </w:r>
    </w:p>
    <w:p w:rsidR="00CB5FAD" w:rsidRDefault="00CB5FAD">
      <w:pPr>
        <w:pStyle w:val="NormaleWeb"/>
        <w:spacing w:beforeAutospacing="0" w:after="0" w:afterAutospacing="0"/>
        <w:rPr>
          <w:rFonts w:asciiTheme="minorHAnsi" w:hAnsiTheme="minorHAnsi" w:cstheme="minorHAnsi"/>
          <w:color w:val="000000" w:themeColor="text1"/>
        </w:rPr>
      </w:pPr>
    </w:p>
    <w:p w:rsidR="00CB5FAD" w:rsidRDefault="00CB5FAD">
      <w:pPr>
        <w:pStyle w:val="NormaleWeb"/>
        <w:spacing w:beforeAutospacing="0" w:after="0" w:afterAutospacing="0"/>
        <w:rPr>
          <w:rFonts w:asciiTheme="minorHAnsi" w:hAnsiTheme="minorHAnsi" w:cstheme="minorHAnsi"/>
          <w:color w:val="000000" w:themeColor="text1"/>
        </w:rPr>
      </w:pPr>
    </w:p>
    <w:p w:rsidR="00CB5FAD" w:rsidRDefault="00720A35">
      <w:pPr>
        <w:pStyle w:val="NormaleWeb"/>
        <w:spacing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 xml:space="preserve">Il </w:t>
      </w:r>
      <w:r>
        <w:rPr>
          <w:rFonts w:asciiTheme="minorHAnsi" w:hAnsiTheme="minorHAnsi" w:cstheme="minorHAnsi"/>
          <w:b/>
          <w:bCs/>
          <w:color w:val="000000" w:themeColor="text1"/>
        </w:rPr>
        <w:t>MODIFIED EARLY WARNING (MEWS)</w:t>
      </w:r>
      <w:r>
        <w:rPr>
          <w:rFonts w:asciiTheme="minorHAnsi" w:hAnsiTheme="minorHAnsi" w:cstheme="minorHAnsi"/>
          <w:color w:val="000000" w:themeColor="text1"/>
        </w:rPr>
        <w:t xml:space="preserve"> è uno strumento di rapida e semplice applicazione, che fornisce un utile ausilio nella decisione della corretta allocazione del paziente, in base all’intensità di monitoraggio e cure richiesti. La scheda MEWS, secondo le indicazioni dell’Istituto Nazionale per le Malattie Infettive “Lazzaro Spallanzani”, è stata opportunamente adattata e modificata per supportare ed uniformare le decisioni cliniche nell’ambito della gestione dell’epidemia di COVID-19. Nella flow-chart della scala sono definiti i criteri di utilizzazione dello score MEWS per la appropriata definizione del livello di intensità di cura. Per una più completa definizione del paziente critico vengono altresì definiti una serie di parametri sentinella, che potranno costituire un ulteriore eventuale supporto alla decisione clinica.</w:t>
      </w:r>
    </w:p>
    <w:p w:rsidR="00CB5FAD" w:rsidRDefault="00720A35">
      <w:pPr>
        <w:pStyle w:val="NormaleWeb"/>
        <w:spacing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 xml:space="preserve">Il punteggio che si ottiene dalla scala va da un minimo di 0 ad un massimo di 14. Gli studi mostrano che un punteggio uguale o superiore a 5 identifica un paziente critico ed instabile, le cui condizioni possono velocemente evolvere verso un ricovero in terapia intensiva o addirittura alla morte. </w:t>
      </w:r>
    </w:p>
    <w:p w:rsidR="00CB5FAD" w:rsidRDefault="00720A35">
      <w:pPr>
        <w:pStyle w:val="NormaleWeb"/>
        <w:spacing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Il MEWS è quindi uno strumento importante e validato per evidenziare tempestivamente un peggioramento delle condizioni cliniche.</w:t>
      </w:r>
    </w:p>
    <w:p w:rsidR="00CB5FAD" w:rsidRDefault="00720A35">
      <w:pPr>
        <w:rPr>
          <w:rFonts w:cstheme="minorHAnsi"/>
          <w:color w:val="000000" w:themeColor="text1"/>
          <w:sz w:val="24"/>
          <w:szCs w:val="24"/>
        </w:rPr>
      </w:pPr>
      <w:r>
        <w:rPr>
          <w:noProof/>
          <w:lang w:eastAsia="it-IT"/>
        </w:rPr>
        <w:drawing>
          <wp:inline distT="0" distB="9525" distL="0" distR="8890">
            <wp:extent cx="5668010" cy="288671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noChangeArrowheads="1"/>
                    </pic:cNvPicPr>
                  </pic:nvPicPr>
                  <pic:blipFill>
                    <a:blip r:embed="rId8"/>
                    <a:stretch>
                      <a:fillRect/>
                    </a:stretch>
                  </pic:blipFill>
                  <pic:spPr bwMode="auto">
                    <a:xfrm>
                      <a:off x="0" y="0"/>
                      <a:ext cx="5668010" cy="2886710"/>
                    </a:xfrm>
                    <a:prstGeom prst="rect">
                      <a:avLst/>
                    </a:prstGeom>
                  </pic:spPr>
                </pic:pic>
              </a:graphicData>
            </a:graphic>
          </wp:inline>
        </w:drawing>
      </w:r>
    </w:p>
    <w:p w:rsidR="00CB5FAD" w:rsidRDefault="00CB5FAD">
      <w:pPr>
        <w:shd w:val="clear" w:color="auto" w:fill="FFFFFF"/>
        <w:spacing w:after="0" w:line="240" w:lineRule="auto"/>
        <w:rPr>
          <w:rFonts w:eastAsia="Times New Roman" w:cstheme="minorHAnsi"/>
          <w:b/>
          <w:color w:val="000000" w:themeColor="text1"/>
          <w:sz w:val="24"/>
          <w:szCs w:val="24"/>
          <w:lang w:eastAsia="zh-CN"/>
        </w:rPr>
      </w:pPr>
    </w:p>
    <w:p w:rsidR="00CB5FAD" w:rsidRDefault="00CB5FAD">
      <w:pPr>
        <w:shd w:val="clear" w:color="auto" w:fill="FFFFFF"/>
        <w:spacing w:after="0" w:line="240" w:lineRule="auto"/>
        <w:rPr>
          <w:rFonts w:eastAsia="Times New Roman" w:cstheme="minorHAnsi"/>
          <w:b/>
          <w:color w:val="000000" w:themeColor="text1"/>
          <w:sz w:val="24"/>
          <w:szCs w:val="24"/>
          <w:lang w:eastAsia="zh-CN"/>
        </w:rPr>
      </w:pPr>
    </w:p>
    <w:p w:rsidR="00CB5FAD" w:rsidRDefault="00CB5FAD">
      <w:pPr>
        <w:shd w:val="clear" w:color="auto" w:fill="FFFFFF"/>
        <w:spacing w:after="0" w:line="240" w:lineRule="auto"/>
        <w:rPr>
          <w:rFonts w:eastAsia="Times New Roman" w:cstheme="minorHAnsi"/>
          <w:b/>
          <w:color w:val="000000" w:themeColor="text1"/>
          <w:sz w:val="24"/>
          <w:szCs w:val="24"/>
          <w:lang w:eastAsia="zh-CN"/>
        </w:rPr>
      </w:pPr>
    </w:p>
    <w:p w:rsidR="00CB5FAD" w:rsidRDefault="00720A35">
      <w:pPr>
        <w:shd w:val="clear" w:color="auto" w:fill="FFFFFF"/>
        <w:spacing w:after="0" w:line="240" w:lineRule="auto"/>
        <w:rPr>
          <w:rFonts w:eastAsia="Times New Roman" w:cstheme="minorHAnsi"/>
          <w:color w:val="000000" w:themeColor="text1"/>
          <w:sz w:val="24"/>
          <w:szCs w:val="24"/>
          <w:lang w:eastAsia="zh-CN"/>
        </w:rPr>
      </w:pPr>
      <w:r>
        <w:rPr>
          <w:rFonts w:eastAsia="Times New Roman" w:cstheme="minorHAnsi"/>
          <w:b/>
          <w:color w:val="000000" w:themeColor="text1"/>
          <w:sz w:val="24"/>
          <w:szCs w:val="24"/>
          <w:lang w:eastAsia="zh-CN"/>
        </w:rPr>
        <w:t>TEST DI ROTH</w:t>
      </w:r>
      <w:r>
        <w:rPr>
          <w:rFonts w:eastAsia="Times New Roman" w:cstheme="minorHAnsi"/>
          <w:color w:val="000000" w:themeColor="text1"/>
          <w:sz w:val="24"/>
          <w:szCs w:val="24"/>
          <w:lang w:eastAsia="zh-CN"/>
        </w:rPr>
        <w:t> (descrizione semplificata)</w:t>
      </w:r>
    </w:p>
    <w:p w:rsidR="00CB5FAD" w:rsidRDefault="00720A35">
      <w:pPr>
        <w:shd w:val="clear" w:color="auto" w:fill="FFFFFF"/>
        <w:spacing w:after="0" w:line="240" w:lineRule="auto"/>
        <w:rPr>
          <w:rFonts w:eastAsia="Times New Roman" w:cstheme="minorHAnsi"/>
          <w:color w:val="000000" w:themeColor="text1"/>
          <w:sz w:val="24"/>
          <w:szCs w:val="24"/>
          <w:lang w:eastAsia="zh-CN"/>
        </w:rPr>
      </w:pPr>
      <w:r>
        <w:rPr>
          <w:rFonts w:eastAsia="Times New Roman" w:cstheme="minorHAnsi"/>
          <w:color w:val="000000" w:themeColor="text1"/>
          <w:sz w:val="24"/>
          <w:szCs w:val="24"/>
          <w:lang w:eastAsia="zh-CN"/>
        </w:rPr>
        <w:t> Il test di Roth si effettua chiedendo al paziente di fare un respiro profondo seguito dal conteggio ad alta voce da 1 a 30 nella sua lingua madre, in un unico respiro, il più rapidamente possibile.</w:t>
      </w:r>
    </w:p>
    <w:p w:rsidR="00CB5FAD" w:rsidRDefault="00720A35">
      <w:pPr>
        <w:shd w:val="clear" w:color="auto" w:fill="FFFFFF"/>
        <w:spacing w:after="0" w:line="240" w:lineRule="auto"/>
        <w:rPr>
          <w:rFonts w:eastAsia="Times New Roman" w:cstheme="minorHAnsi"/>
          <w:color w:val="000000" w:themeColor="text1"/>
          <w:sz w:val="24"/>
          <w:szCs w:val="24"/>
          <w:lang w:eastAsia="zh-CN"/>
        </w:rPr>
      </w:pPr>
      <w:r>
        <w:rPr>
          <w:rFonts w:eastAsia="Times New Roman" w:cstheme="minorHAnsi"/>
          <w:color w:val="000000" w:themeColor="text1"/>
          <w:sz w:val="24"/>
          <w:szCs w:val="24"/>
          <w:lang w:eastAsia="zh-CN"/>
        </w:rPr>
        <w:lastRenderedPageBreak/>
        <w:t>Si cronometra il tempo in secondi a partire dal numero 1 fino al raggiungimento del numero più alto, che viene a sua volta registrato. Il test si ripete dopo che il soggetto abbia effettuato 3 respiri profondi.</w:t>
      </w:r>
    </w:p>
    <w:p w:rsidR="00CB5FAD" w:rsidRDefault="00720A35">
      <w:pPr>
        <w:shd w:val="clear" w:color="auto" w:fill="FFFFFF"/>
        <w:spacing w:after="0" w:line="240" w:lineRule="auto"/>
        <w:rPr>
          <w:rFonts w:eastAsia="Times New Roman" w:cstheme="minorHAnsi"/>
          <w:color w:val="000000" w:themeColor="text1"/>
          <w:sz w:val="24"/>
          <w:szCs w:val="24"/>
          <w:lang w:eastAsia="zh-CN"/>
        </w:rPr>
      </w:pPr>
      <w:r>
        <w:rPr>
          <w:rFonts w:eastAsia="Times New Roman" w:cstheme="minorHAnsi"/>
          <w:color w:val="000000" w:themeColor="text1"/>
          <w:sz w:val="24"/>
          <w:szCs w:val="24"/>
          <w:lang w:eastAsia="zh-CN"/>
        </w:rPr>
        <w:t>Il test di Roth include 2 misurazioni: (1) la durata del tempo trascorso per il conteggio da 1 a 30 in 1 respiro o fino a quando il paziente faccia un altro respiro; e (2) il numero più alto raggiunto in 1 respiro. Conteggi superiori a 11 e durata di conteggio superiore a 8 secondi indicano saturimetria nella norma.</w:t>
      </w:r>
    </w:p>
    <w:p w:rsidR="00CB5FAD" w:rsidRDefault="00720A35">
      <w:pPr>
        <w:shd w:val="clear" w:color="auto" w:fill="FFFFFF"/>
        <w:spacing w:after="0" w:line="240" w:lineRule="auto"/>
        <w:rPr>
          <w:rFonts w:eastAsia="Times New Roman" w:cstheme="minorHAnsi"/>
          <w:color w:val="000000" w:themeColor="text1"/>
          <w:sz w:val="24"/>
          <w:szCs w:val="24"/>
          <w:lang w:eastAsia="zh-CN"/>
        </w:rPr>
      </w:pPr>
      <w:r>
        <w:rPr>
          <w:rFonts w:eastAsia="Times New Roman" w:cstheme="minorHAnsi"/>
          <w:color w:val="000000" w:themeColor="text1"/>
          <w:sz w:val="24"/>
          <w:szCs w:val="24"/>
          <w:lang w:eastAsia="zh-CN"/>
        </w:rPr>
        <w:t>Con un numero massimo raggiunto &lt;10 o un tempo di conteggio &lt;7 secondi si identificano i pazienti con pulsossimetria in aria ambiente &lt;95% (sensibilità del 91% e 83%, rispettivamente). Un numero massimo raggiunto &lt;7 o tempo di conteggio &lt;5 secondi identificano i pazienti con una pulsossimetria in aria ambiente &lt;90% (sensibilità dell'87% e 82%, rispettivamente).</w:t>
      </w:r>
    </w:p>
    <w:p w:rsidR="00CB5FAD" w:rsidRDefault="00720A35">
      <w:pPr>
        <w:shd w:val="clear" w:color="auto" w:fill="FFFFFF"/>
        <w:spacing w:after="0" w:line="240" w:lineRule="auto"/>
        <w:rPr>
          <w:rFonts w:eastAsia="Times New Roman" w:cstheme="minorHAnsi"/>
          <w:color w:val="000000" w:themeColor="text1"/>
          <w:sz w:val="24"/>
          <w:szCs w:val="24"/>
          <w:lang w:eastAsia="zh-CN"/>
        </w:rPr>
      </w:pPr>
      <w:r>
        <w:rPr>
          <w:rFonts w:eastAsia="Times New Roman" w:cstheme="minorHAnsi"/>
          <w:color w:val="000000" w:themeColor="text1"/>
          <w:sz w:val="24"/>
          <w:szCs w:val="24"/>
          <w:lang w:eastAsia="zh-CN"/>
        </w:rPr>
        <w:t>Il test ha il vantaggio di misurare il variare della performance nello stesso individuo.</w:t>
      </w:r>
    </w:p>
    <w:p w:rsidR="00CB5FAD" w:rsidRDefault="00CB5FAD">
      <w:pPr>
        <w:shd w:val="clear" w:color="auto" w:fill="FFFFFF"/>
        <w:spacing w:after="0" w:line="240" w:lineRule="auto"/>
        <w:rPr>
          <w:rFonts w:eastAsia="Times New Roman" w:cstheme="minorHAnsi"/>
          <w:color w:val="000000" w:themeColor="text1"/>
          <w:sz w:val="24"/>
          <w:szCs w:val="24"/>
          <w:lang w:eastAsia="zh-CN"/>
        </w:rPr>
      </w:pPr>
    </w:p>
    <w:p w:rsidR="00CB5FAD" w:rsidRDefault="00CB5FAD">
      <w:pPr>
        <w:shd w:val="clear" w:color="auto" w:fill="FFFFFF"/>
        <w:spacing w:after="0" w:line="240" w:lineRule="auto"/>
        <w:rPr>
          <w:rFonts w:eastAsia="Times New Roman" w:cstheme="minorHAnsi"/>
          <w:color w:val="000000" w:themeColor="text1"/>
          <w:sz w:val="24"/>
          <w:szCs w:val="24"/>
          <w:lang w:eastAsia="zh-CN"/>
        </w:rPr>
      </w:pPr>
    </w:p>
    <w:p w:rsidR="00CB5FAD" w:rsidRDefault="00720A35">
      <w:pPr>
        <w:shd w:val="clear" w:color="auto" w:fill="FFFFFF"/>
        <w:spacing w:after="0" w:line="240" w:lineRule="auto"/>
        <w:rPr>
          <w:rFonts w:eastAsia="Times New Roman" w:cstheme="minorHAnsi"/>
          <w:b/>
          <w:color w:val="000000" w:themeColor="text1"/>
          <w:sz w:val="24"/>
          <w:szCs w:val="24"/>
          <w:lang w:eastAsia="zh-CN"/>
        </w:rPr>
      </w:pPr>
      <w:r>
        <w:rPr>
          <w:rFonts w:eastAsia="Times New Roman" w:cstheme="minorHAnsi"/>
          <w:b/>
          <w:color w:val="000000" w:themeColor="text1"/>
          <w:sz w:val="24"/>
          <w:szCs w:val="24"/>
          <w:lang w:eastAsia="zh-CN"/>
        </w:rPr>
        <w:t>SCHEDA di MONITORAGGIO</w:t>
      </w:r>
    </w:p>
    <w:tbl>
      <w:tblPr>
        <w:tblStyle w:val="Grigliatabella"/>
        <w:tblW w:w="9628" w:type="dxa"/>
        <w:tblLook w:val="04A0" w:firstRow="1" w:lastRow="0" w:firstColumn="1" w:lastColumn="0" w:noHBand="0" w:noVBand="1"/>
      </w:tblPr>
      <w:tblGrid>
        <w:gridCol w:w="1605"/>
        <w:gridCol w:w="1605"/>
        <w:gridCol w:w="1604"/>
        <w:gridCol w:w="1605"/>
        <w:gridCol w:w="1605"/>
        <w:gridCol w:w="1604"/>
      </w:tblGrid>
      <w:tr w:rsidR="00CB5FAD">
        <w:tc>
          <w:tcPr>
            <w:tcW w:w="1604" w:type="dxa"/>
            <w:shd w:val="clear" w:color="auto" w:fill="auto"/>
            <w:tcMar>
              <w:left w:w="108" w:type="dxa"/>
            </w:tcMar>
          </w:tcPr>
          <w:p w:rsidR="00CB5FAD" w:rsidRDefault="00720A35">
            <w:pPr>
              <w:spacing w:after="0" w:line="240" w:lineRule="auto"/>
              <w:jc w:val="center"/>
              <w:rPr>
                <w:rFonts w:eastAsia="Times New Roman" w:cstheme="minorHAnsi"/>
                <w:b/>
                <w:color w:val="000000" w:themeColor="text1"/>
                <w:sz w:val="24"/>
                <w:szCs w:val="24"/>
                <w:lang w:eastAsia="zh-CN"/>
              </w:rPr>
            </w:pPr>
            <w:r>
              <w:rPr>
                <w:rFonts w:eastAsia="Times New Roman" w:cstheme="minorHAnsi"/>
                <w:b/>
                <w:color w:val="000000" w:themeColor="text1"/>
                <w:sz w:val="24"/>
                <w:szCs w:val="24"/>
                <w:lang w:eastAsia="zh-CN"/>
              </w:rPr>
              <w:t>data</w:t>
            </w:r>
          </w:p>
        </w:tc>
        <w:tc>
          <w:tcPr>
            <w:tcW w:w="1605" w:type="dxa"/>
            <w:shd w:val="clear" w:color="auto" w:fill="auto"/>
            <w:tcMar>
              <w:left w:w="108" w:type="dxa"/>
            </w:tcMar>
          </w:tcPr>
          <w:p w:rsidR="00CB5FAD" w:rsidRDefault="00720A35">
            <w:pPr>
              <w:spacing w:after="0" w:line="240" w:lineRule="auto"/>
              <w:jc w:val="center"/>
              <w:rPr>
                <w:rFonts w:eastAsia="Times New Roman" w:cstheme="minorHAnsi"/>
                <w:b/>
                <w:color w:val="000000" w:themeColor="text1"/>
                <w:sz w:val="24"/>
                <w:szCs w:val="24"/>
                <w:lang w:eastAsia="zh-CN"/>
              </w:rPr>
            </w:pPr>
            <w:r>
              <w:rPr>
                <w:rFonts w:eastAsia="Times New Roman" w:cstheme="minorHAnsi"/>
                <w:b/>
                <w:color w:val="000000" w:themeColor="text1"/>
                <w:sz w:val="24"/>
                <w:szCs w:val="24"/>
                <w:lang w:eastAsia="zh-CN"/>
              </w:rPr>
              <w:t>Temperatura</w:t>
            </w:r>
          </w:p>
          <w:p w:rsidR="00CB5FAD" w:rsidRDefault="00720A35">
            <w:pPr>
              <w:spacing w:after="0" w:line="240" w:lineRule="auto"/>
              <w:jc w:val="center"/>
              <w:rPr>
                <w:rFonts w:eastAsia="Times New Roman" w:cstheme="minorHAnsi"/>
                <w:b/>
                <w:color w:val="000000" w:themeColor="text1"/>
                <w:sz w:val="24"/>
                <w:szCs w:val="24"/>
                <w:lang w:eastAsia="zh-CN"/>
              </w:rPr>
            </w:pPr>
            <w:r>
              <w:rPr>
                <w:rFonts w:eastAsia="Times New Roman" w:cstheme="minorHAnsi"/>
                <w:b/>
                <w:color w:val="000000" w:themeColor="text1"/>
                <w:sz w:val="24"/>
                <w:szCs w:val="24"/>
                <w:lang w:eastAsia="zh-CN"/>
              </w:rPr>
              <w:t>Ore 8.00/18.00</w:t>
            </w:r>
          </w:p>
        </w:tc>
        <w:tc>
          <w:tcPr>
            <w:tcW w:w="1604" w:type="dxa"/>
            <w:shd w:val="clear" w:color="auto" w:fill="auto"/>
            <w:tcMar>
              <w:left w:w="108" w:type="dxa"/>
            </w:tcMar>
          </w:tcPr>
          <w:p w:rsidR="00CB5FAD" w:rsidRDefault="00720A35">
            <w:pPr>
              <w:spacing w:after="0" w:line="240" w:lineRule="auto"/>
              <w:jc w:val="center"/>
              <w:rPr>
                <w:rFonts w:eastAsia="Times New Roman" w:cstheme="minorHAnsi"/>
                <w:b/>
                <w:color w:val="000000" w:themeColor="text1"/>
                <w:sz w:val="24"/>
                <w:szCs w:val="24"/>
                <w:lang w:eastAsia="zh-CN"/>
              </w:rPr>
            </w:pPr>
            <w:r>
              <w:rPr>
                <w:rFonts w:eastAsia="Times New Roman" w:cstheme="minorHAnsi"/>
                <w:b/>
                <w:color w:val="000000" w:themeColor="text1"/>
                <w:sz w:val="24"/>
                <w:szCs w:val="24"/>
                <w:lang w:eastAsia="zh-CN"/>
              </w:rPr>
              <w:t>Frequenza cardiaca</w:t>
            </w:r>
          </w:p>
          <w:p w:rsidR="00CB5FAD" w:rsidRDefault="00720A35">
            <w:pPr>
              <w:spacing w:after="0" w:line="240" w:lineRule="auto"/>
              <w:jc w:val="center"/>
              <w:rPr>
                <w:rFonts w:eastAsia="Times New Roman" w:cstheme="minorHAnsi"/>
                <w:b/>
                <w:color w:val="000000" w:themeColor="text1"/>
                <w:sz w:val="24"/>
                <w:szCs w:val="24"/>
                <w:lang w:eastAsia="zh-CN"/>
              </w:rPr>
            </w:pPr>
            <w:r>
              <w:rPr>
                <w:rFonts w:eastAsia="Times New Roman" w:cstheme="minorHAnsi"/>
                <w:b/>
                <w:color w:val="000000" w:themeColor="text1"/>
                <w:sz w:val="24"/>
                <w:szCs w:val="24"/>
                <w:lang w:eastAsia="zh-CN"/>
              </w:rPr>
              <w:t>Battiti/min</w:t>
            </w:r>
          </w:p>
        </w:tc>
        <w:tc>
          <w:tcPr>
            <w:tcW w:w="1605" w:type="dxa"/>
            <w:shd w:val="clear" w:color="auto" w:fill="auto"/>
            <w:tcMar>
              <w:left w:w="108" w:type="dxa"/>
            </w:tcMar>
          </w:tcPr>
          <w:p w:rsidR="00CB5FAD" w:rsidRDefault="00720A35">
            <w:pPr>
              <w:spacing w:after="0" w:line="240" w:lineRule="auto"/>
              <w:jc w:val="center"/>
              <w:rPr>
                <w:rFonts w:eastAsia="Times New Roman" w:cstheme="minorHAnsi"/>
                <w:b/>
                <w:color w:val="000000" w:themeColor="text1"/>
                <w:sz w:val="24"/>
                <w:szCs w:val="24"/>
                <w:lang w:eastAsia="zh-CN"/>
              </w:rPr>
            </w:pPr>
            <w:r>
              <w:rPr>
                <w:rFonts w:eastAsia="Times New Roman" w:cstheme="minorHAnsi"/>
                <w:b/>
                <w:color w:val="000000" w:themeColor="text1"/>
                <w:sz w:val="24"/>
                <w:szCs w:val="24"/>
                <w:lang w:eastAsia="zh-CN"/>
              </w:rPr>
              <w:t>Frequenza respiratoria</w:t>
            </w:r>
          </w:p>
          <w:p w:rsidR="00CB5FAD" w:rsidRDefault="00720A35">
            <w:pPr>
              <w:spacing w:after="0" w:line="240" w:lineRule="auto"/>
              <w:jc w:val="center"/>
              <w:rPr>
                <w:rFonts w:eastAsia="Times New Roman" w:cstheme="minorHAnsi"/>
                <w:b/>
                <w:color w:val="000000" w:themeColor="text1"/>
                <w:sz w:val="24"/>
                <w:szCs w:val="24"/>
                <w:lang w:eastAsia="zh-CN"/>
              </w:rPr>
            </w:pPr>
            <w:r>
              <w:rPr>
                <w:rFonts w:eastAsia="Times New Roman" w:cstheme="minorHAnsi"/>
                <w:b/>
                <w:color w:val="000000" w:themeColor="text1"/>
                <w:sz w:val="24"/>
                <w:szCs w:val="24"/>
                <w:lang w:eastAsia="zh-CN"/>
              </w:rPr>
              <w:t>Respiri/min</w:t>
            </w:r>
          </w:p>
        </w:tc>
        <w:tc>
          <w:tcPr>
            <w:tcW w:w="1605" w:type="dxa"/>
            <w:shd w:val="clear" w:color="auto" w:fill="auto"/>
            <w:tcMar>
              <w:left w:w="108" w:type="dxa"/>
            </w:tcMar>
          </w:tcPr>
          <w:p w:rsidR="00CB5FAD" w:rsidRDefault="00720A35">
            <w:pPr>
              <w:spacing w:after="0" w:line="240" w:lineRule="auto"/>
              <w:jc w:val="center"/>
              <w:rPr>
                <w:rFonts w:eastAsia="Times New Roman" w:cstheme="minorHAnsi"/>
                <w:b/>
                <w:color w:val="000000" w:themeColor="text1"/>
                <w:sz w:val="24"/>
                <w:szCs w:val="24"/>
                <w:lang w:eastAsia="zh-CN"/>
              </w:rPr>
            </w:pPr>
            <w:r>
              <w:rPr>
                <w:rFonts w:eastAsia="Times New Roman" w:cstheme="minorHAnsi"/>
                <w:b/>
                <w:color w:val="000000" w:themeColor="text1"/>
                <w:sz w:val="24"/>
                <w:szCs w:val="24"/>
                <w:lang w:eastAsia="zh-CN"/>
              </w:rPr>
              <w:t>Saturazione ossigeno</w:t>
            </w:r>
          </w:p>
        </w:tc>
        <w:tc>
          <w:tcPr>
            <w:tcW w:w="1604" w:type="dxa"/>
            <w:shd w:val="clear" w:color="auto" w:fill="auto"/>
            <w:tcMar>
              <w:left w:w="108" w:type="dxa"/>
            </w:tcMar>
          </w:tcPr>
          <w:p w:rsidR="00CB5FAD" w:rsidRDefault="00720A35">
            <w:pPr>
              <w:spacing w:after="0" w:line="240" w:lineRule="auto"/>
              <w:jc w:val="center"/>
              <w:rPr>
                <w:rFonts w:eastAsia="Times New Roman" w:cstheme="minorHAnsi"/>
                <w:b/>
                <w:color w:val="000000" w:themeColor="text1"/>
                <w:sz w:val="24"/>
                <w:szCs w:val="24"/>
                <w:lang w:eastAsia="zh-CN"/>
              </w:rPr>
            </w:pPr>
            <w:r>
              <w:rPr>
                <w:rFonts w:eastAsia="Times New Roman" w:cstheme="minorHAnsi"/>
                <w:b/>
                <w:color w:val="000000" w:themeColor="text1"/>
                <w:sz w:val="24"/>
                <w:szCs w:val="24"/>
                <w:lang w:eastAsia="zh-CN"/>
              </w:rPr>
              <w:t>Pressione arteriosa Sist/Diast</w:t>
            </w:r>
          </w:p>
        </w:tc>
      </w:tr>
      <w:tr w:rsidR="00CB5FAD">
        <w:tc>
          <w:tcPr>
            <w:tcW w:w="1604"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c>
          <w:tcPr>
            <w:tcW w:w="1605"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c>
          <w:tcPr>
            <w:tcW w:w="1604"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c>
          <w:tcPr>
            <w:tcW w:w="1605"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c>
          <w:tcPr>
            <w:tcW w:w="1605"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c>
          <w:tcPr>
            <w:tcW w:w="1604"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r>
      <w:tr w:rsidR="00CB5FAD">
        <w:tc>
          <w:tcPr>
            <w:tcW w:w="1604"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c>
          <w:tcPr>
            <w:tcW w:w="1605"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c>
          <w:tcPr>
            <w:tcW w:w="1604"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c>
          <w:tcPr>
            <w:tcW w:w="1605"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c>
          <w:tcPr>
            <w:tcW w:w="1605"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c>
          <w:tcPr>
            <w:tcW w:w="1604"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r>
      <w:tr w:rsidR="00CB5FAD">
        <w:tc>
          <w:tcPr>
            <w:tcW w:w="1604"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c>
          <w:tcPr>
            <w:tcW w:w="1605"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c>
          <w:tcPr>
            <w:tcW w:w="1604"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c>
          <w:tcPr>
            <w:tcW w:w="1605"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c>
          <w:tcPr>
            <w:tcW w:w="1605"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c>
          <w:tcPr>
            <w:tcW w:w="1604"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r>
      <w:tr w:rsidR="00CB5FAD">
        <w:tc>
          <w:tcPr>
            <w:tcW w:w="1604"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c>
          <w:tcPr>
            <w:tcW w:w="1605"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c>
          <w:tcPr>
            <w:tcW w:w="1604"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c>
          <w:tcPr>
            <w:tcW w:w="1605"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c>
          <w:tcPr>
            <w:tcW w:w="1605"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c>
          <w:tcPr>
            <w:tcW w:w="1604"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r>
      <w:tr w:rsidR="00CB5FAD">
        <w:tc>
          <w:tcPr>
            <w:tcW w:w="1604"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c>
          <w:tcPr>
            <w:tcW w:w="1605"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c>
          <w:tcPr>
            <w:tcW w:w="1604"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c>
          <w:tcPr>
            <w:tcW w:w="1605"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c>
          <w:tcPr>
            <w:tcW w:w="1605"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c>
          <w:tcPr>
            <w:tcW w:w="1604"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r>
      <w:tr w:rsidR="00CB5FAD">
        <w:tc>
          <w:tcPr>
            <w:tcW w:w="1604"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c>
          <w:tcPr>
            <w:tcW w:w="1605"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c>
          <w:tcPr>
            <w:tcW w:w="1604"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c>
          <w:tcPr>
            <w:tcW w:w="1605"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c>
          <w:tcPr>
            <w:tcW w:w="1605"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c>
          <w:tcPr>
            <w:tcW w:w="1604"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r>
      <w:tr w:rsidR="00CB5FAD">
        <w:tc>
          <w:tcPr>
            <w:tcW w:w="1604"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c>
          <w:tcPr>
            <w:tcW w:w="1605"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c>
          <w:tcPr>
            <w:tcW w:w="1604"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c>
          <w:tcPr>
            <w:tcW w:w="1605"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c>
          <w:tcPr>
            <w:tcW w:w="1605"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c>
          <w:tcPr>
            <w:tcW w:w="1604"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r>
      <w:tr w:rsidR="00CB5FAD">
        <w:tc>
          <w:tcPr>
            <w:tcW w:w="1604"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c>
          <w:tcPr>
            <w:tcW w:w="1605"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c>
          <w:tcPr>
            <w:tcW w:w="1604"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c>
          <w:tcPr>
            <w:tcW w:w="1605"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c>
          <w:tcPr>
            <w:tcW w:w="1605"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c>
          <w:tcPr>
            <w:tcW w:w="1604"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r>
      <w:tr w:rsidR="00CB5FAD">
        <w:tc>
          <w:tcPr>
            <w:tcW w:w="1604"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c>
          <w:tcPr>
            <w:tcW w:w="1605"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c>
          <w:tcPr>
            <w:tcW w:w="1604"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c>
          <w:tcPr>
            <w:tcW w:w="1605"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c>
          <w:tcPr>
            <w:tcW w:w="1605"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c>
          <w:tcPr>
            <w:tcW w:w="1604"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r>
      <w:tr w:rsidR="00CB5FAD">
        <w:tc>
          <w:tcPr>
            <w:tcW w:w="1604"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c>
          <w:tcPr>
            <w:tcW w:w="1605"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c>
          <w:tcPr>
            <w:tcW w:w="1604"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c>
          <w:tcPr>
            <w:tcW w:w="1605"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c>
          <w:tcPr>
            <w:tcW w:w="1605"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c>
          <w:tcPr>
            <w:tcW w:w="1604" w:type="dxa"/>
            <w:shd w:val="clear" w:color="auto" w:fill="auto"/>
            <w:tcMar>
              <w:left w:w="108" w:type="dxa"/>
            </w:tcMar>
          </w:tcPr>
          <w:p w:rsidR="00CB5FAD" w:rsidRDefault="00CB5FAD">
            <w:pPr>
              <w:spacing w:after="0" w:line="240" w:lineRule="auto"/>
              <w:rPr>
                <w:rFonts w:eastAsia="Times New Roman" w:cstheme="minorHAnsi"/>
                <w:b/>
                <w:color w:val="000000" w:themeColor="text1"/>
                <w:sz w:val="24"/>
                <w:szCs w:val="24"/>
                <w:lang w:eastAsia="zh-CN"/>
              </w:rPr>
            </w:pPr>
          </w:p>
        </w:tc>
      </w:tr>
    </w:tbl>
    <w:p w:rsidR="00CB5FAD" w:rsidRDefault="00CB5FAD">
      <w:pPr>
        <w:shd w:val="clear" w:color="auto" w:fill="FFFFFF"/>
        <w:spacing w:after="0" w:line="240" w:lineRule="auto"/>
        <w:rPr>
          <w:rFonts w:eastAsia="Times New Roman" w:cstheme="minorHAnsi"/>
          <w:b/>
          <w:color w:val="000000" w:themeColor="text1"/>
          <w:sz w:val="24"/>
          <w:szCs w:val="24"/>
          <w:lang w:eastAsia="zh-CN"/>
        </w:rPr>
      </w:pPr>
    </w:p>
    <w:p w:rsidR="00CB5FAD" w:rsidRDefault="00CB5FAD">
      <w:pPr>
        <w:shd w:val="clear" w:color="auto" w:fill="FFFFFF"/>
        <w:spacing w:after="0" w:line="240" w:lineRule="auto"/>
        <w:rPr>
          <w:rFonts w:cstheme="minorHAnsi"/>
          <w:b/>
          <w:color w:val="000000" w:themeColor="text1"/>
          <w:sz w:val="24"/>
          <w:szCs w:val="24"/>
        </w:rPr>
      </w:pPr>
    </w:p>
    <w:p w:rsidR="00CB5FAD" w:rsidRDefault="00CB5FAD">
      <w:pPr>
        <w:shd w:val="clear" w:color="auto" w:fill="FFFFFF"/>
        <w:spacing w:after="0" w:line="240" w:lineRule="auto"/>
        <w:rPr>
          <w:rFonts w:cstheme="minorHAnsi"/>
          <w:b/>
          <w:color w:val="000000" w:themeColor="text1"/>
          <w:sz w:val="24"/>
          <w:szCs w:val="24"/>
        </w:rPr>
      </w:pPr>
    </w:p>
    <w:p w:rsidR="00CB5FAD" w:rsidRDefault="00CB5FAD">
      <w:pPr>
        <w:shd w:val="clear" w:color="auto" w:fill="FFFFFF"/>
        <w:spacing w:after="0" w:line="240" w:lineRule="auto"/>
        <w:rPr>
          <w:rFonts w:cstheme="minorHAnsi"/>
          <w:b/>
          <w:color w:val="000000" w:themeColor="text1"/>
          <w:sz w:val="24"/>
          <w:szCs w:val="24"/>
        </w:rPr>
      </w:pPr>
    </w:p>
    <w:p w:rsidR="00CB5FAD" w:rsidRDefault="00CB5FAD">
      <w:pPr>
        <w:shd w:val="clear" w:color="auto" w:fill="FFFFFF"/>
        <w:spacing w:after="0" w:line="240" w:lineRule="auto"/>
        <w:rPr>
          <w:rFonts w:cstheme="minorHAnsi"/>
          <w:b/>
          <w:color w:val="000000" w:themeColor="text1"/>
          <w:sz w:val="24"/>
          <w:szCs w:val="24"/>
        </w:rPr>
      </w:pPr>
    </w:p>
    <w:p w:rsidR="00CB5FAD" w:rsidRDefault="00720A35">
      <w:pPr>
        <w:shd w:val="clear" w:color="auto" w:fill="FFFFFF"/>
        <w:spacing w:after="0" w:line="240" w:lineRule="auto"/>
        <w:rPr>
          <w:rFonts w:cstheme="minorHAnsi"/>
          <w:color w:val="000000" w:themeColor="text1"/>
          <w:sz w:val="24"/>
          <w:szCs w:val="24"/>
        </w:rPr>
      </w:pPr>
      <w:r>
        <w:rPr>
          <w:rFonts w:cstheme="minorHAnsi"/>
          <w:b/>
          <w:color w:val="000000" w:themeColor="text1"/>
          <w:sz w:val="24"/>
          <w:szCs w:val="24"/>
        </w:rPr>
        <w:t>BIBLIOGRAFIA</w:t>
      </w:r>
    </w:p>
    <w:p w:rsidR="00CB5FAD" w:rsidRDefault="00CB5FAD">
      <w:pPr>
        <w:shd w:val="clear" w:color="auto" w:fill="FFFFFF"/>
        <w:spacing w:after="0" w:line="240" w:lineRule="auto"/>
        <w:rPr>
          <w:rFonts w:cstheme="minorHAnsi"/>
          <w:color w:val="000000" w:themeColor="text1"/>
          <w:sz w:val="24"/>
          <w:szCs w:val="24"/>
        </w:rPr>
      </w:pPr>
    </w:p>
    <w:p w:rsidR="00CB5FAD" w:rsidRDefault="00720A35">
      <w:pPr>
        <w:pStyle w:val="Paragrafoelenco"/>
        <w:numPr>
          <w:ilvl w:val="0"/>
          <w:numId w:val="7"/>
        </w:numPr>
        <w:spacing w:after="0"/>
        <w:rPr>
          <w:rFonts w:cstheme="minorHAnsi"/>
          <w:color w:val="000000" w:themeColor="text1"/>
          <w:sz w:val="20"/>
          <w:szCs w:val="20"/>
        </w:rPr>
      </w:pPr>
      <w:r>
        <w:rPr>
          <w:rFonts w:cstheme="minorHAnsi"/>
          <w:color w:val="000000" w:themeColor="text1"/>
          <w:sz w:val="20"/>
          <w:szCs w:val="20"/>
          <w:lang w:val="en-US"/>
        </w:rPr>
        <w:t xml:space="preserve">R.T. Gandhi et alii: Mild or Moderate Covid-19. </w:t>
      </w:r>
      <w:r>
        <w:rPr>
          <w:rFonts w:cstheme="minorHAnsi"/>
          <w:color w:val="000000" w:themeColor="text1"/>
          <w:sz w:val="20"/>
          <w:szCs w:val="20"/>
        </w:rPr>
        <w:t xml:space="preserve">NEJM, October 29, 2020, 1757-1766 </w:t>
      </w:r>
    </w:p>
    <w:p w:rsidR="00CB5FAD" w:rsidRDefault="00720A35">
      <w:pPr>
        <w:pStyle w:val="Paragrafoelenco"/>
        <w:numPr>
          <w:ilvl w:val="0"/>
          <w:numId w:val="7"/>
        </w:numPr>
        <w:spacing w:after="0"/>
        <w:rPr>
          <w:rFonts w:cstheme="minorHAnsi"/>
          <w:color w:val="000000" w:themeColor="text1"/>
          <w:sz w:val="20"/>
          <w:szCs w:val="20"/>
          <w:lang w:val="en-US"/>
        </w:rPr>
      </w:pPr>
      <w:r>
        <w:rPr>
          <w:rFonts w:cstheme="minorHAnsi"/>
          <w:color w:val="000000" w:themeColor="text1"/>
          <w:sz w:val="20"/>
          <w:szCs w:val="20"/>
          <w:lang w:val="en-US"/>
        </w:rPr>
        <w:t>P.S. Kim, S.W. Read and A.S. Fauci: Therapy for Early COVID-19. A Critical Need. JAMA, Published online November 11, 2020</w:t>
      </w:r>
    </w:p>
    <w:p w:rsidR="00CB5FAD" w:rsidRDefault="00720A35">
      <w:pPr>
        <w:pStyle w:val="Paragrafoelenco"/>
        <w:numPr>
          <w:ilvl w:val="0"/>
          <w:numId w:val="7"/>
        </w:numPr>
        <w:spacing w:after="0"/>
        <w:rPr>
          <w:rFonts w:cstheme="minorHAnsi"/>
          <w:color w:val="000000" w:themeColor="text1"/>
          <w:sz w:val="20"/>
          <w:szCs w:val="20"/>
        </w:rPr>
      </w:pPr>
      <w:r>
        <w:rPr>
          <w:rFonts w:eastAsia="Times New Roman" w:cstheme="minorHAnsi"/>
          <w:color w:val="000000" w:themeColor="text1"/>
          <w:sz w:val="20"/>
          <w:szCs w:val="20"/>
          <w:lang w:eastAsia="zh-CN"/>
        </w:rPr>
        <w:t>G. Federspil: Premessa. In D.L. Sackett et alii: La Medicina Basata sulle Evidenze. Pensiero Scientifico Editore, 1998</w:t>
      </w:r>
    </w:p>
    <w:p w:rsidR="00CB5FAD" w:rsidRDefault="00720A35">
      <w:pPr>
        <w:pStyle w:val="Paragrafoelenco"/>
        <w:numPr>
          <w:ilvl w:val="0"/>
          <w:numId w:val="7"/>
        </w:numPr>
        <w:shd w:val="clear" w:color="auto" w:fill="FFFFFF"/>
        <w:spacing w:after="0" w:line="240" w:lineRule="auto"/>
        <w:rPr>
          <w:rFonts w:eastAsia="Times New Roman" w:cstheme="minorHAnsi"/>
          <w:color w:val="000000" w:themeColor="text1"/>
          <w:sz w:val="20"/>
          <w:szCs w:val="20"/>
          <w:lang w:eastAsia="zh-CN"/>
        </w:rPr>
      </w:pPr>
      <w:r>
        <w:rPr>
          <w:rFonts w:eastAsia="Times New Roman" w:cstheme="minorHAnsi"/>
          <w:color w:val="000000" w:themeColor="text1"/>
          <w:sz w:val="20"/>
          <w:szCs w:val="20"/>
          <w:lang w:eastAsia="zh-CN"/>
        </w:rPr>
        <w:t>2020-04-17-LAVEZZO-CRISANTI-20053157v1.full-paper.pdf https://www.medrxiv.org/content/10.1101/2020.04.17.20053157v1.full.pdf</w:t>
      </w:r>
    </w:p>
    <w:p w:rsidR="00CB5FAD" w:rsidRDefault="00B4754A">
      <w:pPr>
        <w:pStyle w:val="Paragrafoelenco"/>
        <w:numPr>
          <w:ilvl w:val="0"/>
          <w:numId w:val="7"/>
        </w:numPr>
        <w:shd w:val="clear" w:color="auto" w:fill="FFFFFF"/>
        <w:spacing w:after="0" w:line="240" w:lineRule="auto"/>
      </w:pPr>
      <w:hyperlink r:id="rId9">
        <w:r w:rsidR="00720A35">
          <w:rPr>
            <w:rStyle w:val="CollegamentoInternet"/>
            <w:rFonts w:eastAsia="Times New Roman" w:cstheme="minorHAnsi"/>
            <w:color w:val="000000" w:themeColor="text1"/>
            <w:sz w:val="20"/>
            <w:szCs w:val="20"/>
            <w:lang w:eastAsia="zh-CN"/>
          </w:rPr>
          <w:t>https://www.epicentro.iss.it/coronavirus/bollettino/Bollettino-sorveglianza-integrata-COVID-19_27-ottobre-2020.pdf</w:t>
        </w:r>
      </w:hyperlink>
    </w:p>
    <w:p w:rsidR="00CB5FAD" w:rsidRDefault="00B4754A">
      <w:pPr>
        <w:pStyle w:val="Paragrafoelenco"/>
        <w:numPr>
          <w:ilvl w:val="0"/>
          <w:numId w:val="7"/>
        </w:numPr>
        <w:shd w:val="clear" w:color="auto" w:fill="FFFFFF"/>
        <w:spacing w:after="0" w:line="240" w:lineRule="auto"/>
      </w:pPr>
      <w:hyperlink r:id="rId10">
        <w:r w:rsidR="00720A35">
          <w:rPr>
            <w:rStyle w:val="CollegamentoInternet"/>
            <w:rFonts w:eastAsia="Times New Roman" w:cstheme="minorHAnsi"/>
            <w:color w:val="000000" w:themeColor="text1"/>
            <w:sz w:val="20"/>
            <w:szCs w:val="20"/>
            <w:lang w:eastAsia="zh-CN"/>
          </w:rPr>
          <w:t>https://coronavirus.jhu.edu/map.html</w:t>
        </w:r>
      </w:hyperlink>
    </w:p>
    <w:p w:rsidR="00CB5FAD" w:rsidRPr="004F2085" w:rsidRDefault="00720A35">
      <w:pPr>
        <w:pStyle w:val="Paragrafoelenco"/>
        <w:numPr>
          <w:ilvl w:val="0"/>
          <w:numId w:val="7"/>
        </w:numPr>
        <w:shd w:val="clear" w:color="auto" w:fill="FFFFFF"/>
        <w:spacing w:after="0" w:line="240" w:lineRule="auto"/>
        <w:rPr>
          <w:lang w:val="en-US"/>
        </w:rPr>
      </w:pPr>
      <w:r>
        <w:rPr>
          <w:color w:val="000000" w:themeColor="text1"/>
          <w:sz w:val="20"/>
          <w:szCs w:val="20"/>
          <w:shd w:val="clear" w:color="auto" w:fill="FFFFFF"/>
          <w:lang w:val="en-US"/>
        </w:rPr>
        <w:t>National Institutes of Health. COVID-19 Treatment Guidelines. Management of persons with COVID-19. Bethesda, MD NIH; 2020. </w:t>
      </w:r>
      <w:hyperlink r:id="rId11">
        <w:r>
          <w:rPr>
            <w:rStyle w:val="CollegamentoInternet"/>
            <w:color w:val="000000" w:themeColor="text1"/>
            <w:sz w:val="20"/>
            <w:szCs w:val="20"/>
            <w:shd w:val="clear" w:color="auto" w:fill="FFFFFF"/>
            <w:lang w:val="en-US"/>
          </w:rPr>
          <w:t>https://files.covid19treatmentguidelines.nih.gov/guidelines/covid19treatmentguidelines.pdf</w:t>
        </w:r>
      </w:hyperlink>
    </w:p>
    <w:p w:rsidR="00CB5FAD" w:rsidRDefault="00720A35">
      <w:pPr>
        <w:pStyle w:val="Paragrafoelenco"/>
        <w:numPr>
          <w:ilvl w:val="0"/>
          <w:numId w:val="7"/>
        </w:numPr>
      </w:pPr>
      <w:r>
        <w:rPr>
          <w:color w:val="000000" w:themeColor="text1"/>
          <w:sz w:val="20"/>
          <w:szCs w:val="20"/>
          <w:shd w:val="clear" w:color="auto" w:fill="FFFFFF"/>
          <w:lang w:val="en-US"/>
        </w:rPr>
        <w:t xml:space="preserve">F. Wang et alii: The timeline and risk factors of clinical progression of COVID in Shezen, China. J. Transl. Med. (2020) 18:270 </w:t>
      </w:r>
      <w:hyperlink r:id="rId12">
        <w:r>
          <w:rPr>
            <w:rStyle w:val="CollegamentoInternet"/>
            <w:color w:val="000000" w:themeColor="text1"/>
            <w:sz w:val="20"/>
            <w:szCs w:val="20"/>
            <w:shd w:val="clear" w:color="auto" w:fill="FFFFFF"/>
            <w:lang w:val="en-US"/>
          </w:rPr>
          <w:t>https://doi.org/10.1186/s</w:t>
        </w:r>
      </w:hyperlink>
      <w:r>
        <w:rPr>
          <w:color w:val="000000" w:themeColor="text1"/>
          <w:sz w:val="20"/>
          <w:szCs w:val="20"/>
          <w:shd w:val="clear" w:color="auto" w:fill="FFFFFF"/>
          <w:lang w:val="en-US"/>
        </w:rPr>
        <w:t>12967-020-02423-8</w:t>
      </w:r>
    </w:p>
    <w:p w:rsidR="00CB5FAD" w:rsidRDefault="00720A35">
      <w:pPr>
        <w:pStyle w:val="Paragrafoelenco"/>
        <w:numPr>
          <w:ilvl w:val="0"/>
          <w:numId w:val="7"/>
        </w:numPr>
        <w:rPr>
          <w:color w:val="000000" w:themeColor="text1"/>
          <w:sz w:val="20"/>
          <w:szCs w:val="20"/>
          <w:highlight w:val="white"/>
        </w:rPr>
      </w:pPr>
      <w:r>
        <w:rPr>
          <w:rFonts w:eastAsia="Times New Roman" w:cstheme="minorHAnsi"/>
          <w:color w:val="000000" w:themeColor="text1"/>
          <w:sz w:val="20"/>
          <w:szCs w:val="20"/>
          <w:lang w:eastAsia="zh-CN"/>
        </w:rPr>
        <w:t>E. Concia, F. Gobbi e M. Lanzafame: Terapia Antinfettiva, Edizioni Libreria Cortina Verona, 2020</w:t>
      </w:r>
      <w:r>
        <w:rPr>
          <w:color w:val="000000" w:themeColor="text1"/>
          <w:sz w:val="20"/>
          <w:szCs w:val="20"/>
          <w:shd w:val="clear" w:color="auto" w:fill="FFFFFF"/>
        </w:rPr>
        <w:t xml:space="preserve"> </w:t>
      </w:r>
    </w:p>
    <w:p w:rsidR="00CB5FAD" w:rsidRDefault="00720A35">
      <w:pPr>
        <w:pStyle w:val="Paragrafoelenco"/>
        <w:numPr>
          <w:ilvl w:val="0"/>
          <w:numId w:val="7"/>
        </w:numPr>
        <w:rPr>
          <w:color w:val="000000" w:themeColor="text1"/>
          <w:sz w:val="20"/>
          <w:szCs w:val="20"/>
          <w:highlight w:val="white"/>
        </w:rPr>
      </w:pPr>
      <w:r>
        <w:rPr>
          <w:color w:val="000000" w:themeColor="text1"/>
          <w:sz w:val="20"/>
          <w:szCs w:val="20"/>
          <w:shd w:val="clear" w:color="auto" w:fill="FFFFFF"/>
        </w:rPr>
        <w:lastRenderedPageBreak/>
        <w:t>O. Culic, V. Erakovic, MJ Parnaham: Antiinflammatory Effects of Macrolide Antibiotics. Eur.J. Phamacol. 2001 Oct 19; 429 (1.3): 209-29</w:t>
      </w:r>
    </w:p>
    <w:p w:rsidR="00CB5FAD" w:rsidRDefault="00720A35">
      <w:pPr>
        <w:pStyle w:val="Paragrafoelenco"/>
        <w:numPr>
          <w:ilvl w:val="0"/>
          <w:numId w:val="7"/>
        </w:numPr>
        <w:rPr>
          <w:color w:val="000000" w:themeColor="text1"/>
          <w:sz w:val="20"/>
          <w:szCs w:val="20"/>
          <w:highlight w:val="white"/>
        </w:rPr>
      </w:pPr>
      <w:r>
        <w:rPr>
          <w:color w:val="000000" w:themeColor="text1"/>
          <w:sz w:val="20"/>
          <w:szCs w:val="20"/>
          <w:shd w:val="clear" w:color="auto" w:fill="FFFFFF"/>
        </w:rPr>
        <w:t>Goodman and Gilman: Le basi farmacologiche della terapia. Il Manuale. 2^ ed. Zanichelli, 2015</w:t>
      </w:r>
    </w:p>
    <w:p w:rsidR="00CB5FAD" w:rsidRDefault="00720A35">
      <w:pPr>
        <w:pStyle w:val="Paragrafoelenco"/>
        <w:numPr>
          <w:ilvl w:val="0"/>
          <w:numId w:val="7"/>
        </w:numPr>
        <w:rPr>
          <w:color w:val="000000" w:themeColor="text1"/>
          <w:sz w:val="20"/>
          <w:szCs w:val="20"/>
          <w:highlight w:val="white"/>
        </w:rPr>
      </w:pPr>
      <w:r>
        <w:rPr>
          <w:rFonts w:eastAsia="Times New Roman" w:cstheme="minorHAnsi"/>
          <w:color w:val="000000" w:themeColor="text1"/>
          <w:sz w:val="20"/>
          <w:szCs w:val="20"/>
          <w:lang w:eastAsia="zh-CN"/>
        </w:rPr>
        <w:t>AIFA: Corticosteroidi nella terapia dei pazienti adulti con COVID-19. Prima pubblicazione: 6 Ottobre 2020</w:t>
      </w:r>
      <w:r>
        <w:rPr>
          <w:color w:val="000000" w:themeColor="text1"/>
          <w:sz w:val="20"/>
          <w:szCs w:val="20"/>
          <w:shd w:val="clear" w:color="auto" w:fill="FFFFFF"/>
        </w:rPr>
        <w:t xml:space="preserve">     </w:t>
      </w:r>
    </w:p>
    <w:p w:rsidR="00CB5FAD" w:rsidRDefault="00720A35">
      <w:pPr>
        <w:pStyle w:val="Paragrafoelenco"/>
        <w:numPr>
          <w:ilvl w:val="0"/>
          <w:numId w:val="7"/>
        </w:numPr>
        <w:rPr>
          <w:color w:val="000000" w:themeColor="text1"/>
          <w:sz w:val="20"/>
          <w:szCs w:val="20"/>
          <w:highlight w:val="white"/>
          <w:lang w:val="en-US"/>
        </w:rPr>
      </w:pPr>
      <w:r>
        <w:rPr>
          <w:color w:val="000000" w:themeColor="text1"/>
          <w:sz w:val="20"/>
          <w:szCs w:val="20"/>
          <w:shd w:val="clear" w:color="auto" w:fill="FFFFFF"/>
          <w:lang w:val="en-US"/>
        </w:rPr>
        <w:t xml:space="preserve"> </w:t>
      </w:r>
      <w:r>
        <w:rPr>
          <w:rFonts w:cstheme="minorHAnsi"/>
          <w:color w:val="000000" w:themeColor="text1"/>
          <w:sz w:val="20"/>
          <w:szCs w:val="20"/>
          <w:lang w:val="en-US" w:eastAsia="zh-CN"/>
        </w:rPr>
        <w:t xml:space="preserve">V. Spagnuolo et alii: Viral Clearance After Early Corticosteroid Treatment in Patients with Moderate or Severe Covid-19 https://doi.org/10.21203/rs.3.rs-41021/v1 </w:t>
      </w:r>
      <w:r>
        <w:rPr>
          <w:rFonts w:cstheme="minorHAnsi"/>
          <w:color w:val="000000" w:themeColor="text1"/>
          <w:sz w:val="20"/>
          <w:szCs w:val="20"/>
          <w:shd w:val="clear" w:color="auto" w:fill="FFFFFF"/>
          <w:lang w:val="en-US"/>
        </w:rPr>
        <w:t xml:space="preserve">                                       </w:t>
      </w:r>
    </w:p>
    <w:p w:rsidR="00CB5FAD" w:rsidRDefault="00720A35">
      <w:pPr>
        <w:pStyle w:val="Paragrafoelenco"/>
        <w:numPr>
          <w:ilvl w:val="0"/>
          <w:numId w:val="7"/>
        </w:numPr>
        <w:rPr>
          <w:color w:val="000000" w:themeColor="text1"/>
          <w:sz w:val="20"/>
          <w:szCs w:val="20"/>
          <w:highlight w:val="white"/>
          <w:lang w:val="en-US"/>
        </w:rPr>
      </w:pPr>
      <w:r>
        <w:rPr>
          <w:rFonts w:eastAsia="Times New Roman" w:cstheme="minorHAnsi"/>
          <w:color w:val="000000" w:themeColor="text1"/>
          <w:sz w:val="20"/>
          <w:szCs w:val="20"/>
          <w:lang w:val="en-US" w:eastAsia="zh-CN"/>
        </w:rPr>
        <w:t>W.H. Self et alii: Effect of Hydroxicloroquine on Clinical Status at 14 Days in Hospitalized Patients with COVID-19. JAMA.doi:10.1001/jama.2020.22240</w:t>
      </w:r>
      <w:r>
        <w:rPr>
          <w:color w:val="000000" w:themeColor="text1"/>
          <w:sz w:val="20"/>
          <w:szCs w:val="20"/>
          <w:shd w:val="clear" w:color="auto" w:fill="FFFFFF"/>
          <w:lang w:val="en-US"/>
        </w:rPr>
        <w:t xml:space="preserve">                                                                     </w:t>
      </w:r>
    </w:p>
    <w:p w:rsidR="00CB5FAD" w:rsidRDefault="00720A35">
      <w:pPr>
        <w:pStyle w:val="Paragrafoelenco"/>
        <w:numPr>
          <w:ilvl w:val="0"/>
          <w:numId w:val="7"/>
        </w:numPr>
        <w:rPr>
          <w:color w:val="000000" w:themeColor="text1"/>
          <w:sz w:val="20"/>
          <w:szCs w:val="20"/>
          <w:highlight w:val="white"/>
        </w:rPr>
      </w:pPr>
      <w:r>
        <w:rPr>
          <w:rFonts w:eastAsia="Times New Roman" w:cstheme="minorHAnsi"/>
          <w:color w:val="000000" w:themeColor="text1"/>
          <w:sz w:val="20"/>
          <w:szCs w:val="20"/>
          <w:lang w:eastAsia="zh-CN"/>
        </w:rPr>
        <w:t>AIFA: Idrossiclorochina nella terapia dei pazienti adulti con COVID-19. Update del 22 luglio 2020</w:t>
      </w:r>
    </w:p>
    <w:p w:rsidR="00CB5FAD" w:rsidRDefault="00720A35">
      <w:pPr>
        <w:pStyle w:val="Paragrafoelenco"/>
        <w:numPr>
          <w:ilvl w:val="0"/>
          <w:numId w:val="7"/>
        </w:numPr>
      </w:pPr>
      <w:r>
        <w:rPr>
          <w:rFonts w:ascii="Comic Sans MS" w:hAnsi="Comic Sans MS"/>
          <w:color w:val="000000" w:themeColor="text1"/>
          <w:sz w:val="20"/>
          <w:szCs w:val="20"/>
          <w:shd w:val="clear" w:color="auto" w:fill="FFFFFF"/>
        </w:rPr>
        <w:t> </w:t>
      </w:r>
      <w:hyperlink r:id="rId13">
        <w:r>
          <w:rPr>
            <w:rStyle w:val="CollegamentoInternet"/>
            <w:rFonts w:cstheme="minorHAnsi"/>
            <w:color w:val="000000" w:themeColor="text1"/>
            <w:sz w:val="20"/>
            <w:szCs w:val="20"/>
            <w:highlight w:val="white"/>
          </w:rPr>
          <w:t>https://youtu.be/E1O9zioixoU</w:t>
        </w:r>
      </w:hyperlink>
      <w:r>
        <w:rPr>
          <w:rFonts w:cstheme="minorHAnsi"/>
          <w:color w:val="000000" w:themeColor="text1"/>
          <w:sz w:val="20"/>
          <w:szCs w:val="20"/>
        </w:rPr>
        <w:t> </w:t>
      </w:r>
    </w:p>
    <w:p w:rsidR="00CB5FAD" w:rsidRDefault="00720A35">
      <w:pPr>
        <w:pStyle w:val="Paragrafoelenco"/>
        <w:numPr>
          <w:ilvl w:val="0"/>
          <w:numId w:val="7"/>
        </w:numPr>
        <w:shd w:val="clear" w:color="auto" w:fill="FFFFFF"/>
      </w:pPr>
      <w:r>
        <w:rPr>
          <w:rFonts w:cstheme="minorHAnsi"/>
          <w:color w:val="000000" w:themeColor="text1"/>
          <w:sz w:val="20"/>
          <w:szCs w:val="20"/>
        </w:rPr>
        <w:t>5BX </w:t>
      </w:r>
      <w:hyperlink r:id="rId14">
        <w:r>
          <w:rPr>
            <w:rStyle w:val="CollegamentoInternet"/>
            <w:rFonts w:cstheme="minorHAnsi"/>
            <w:color w:val="000000" w:themeColor="text1"/>
            <w:sz w:val="20"/>
            <w:szCs w:val="20"/>
          </w:rPr>
          <w:t>http://fit450.com/HTML/5BX_chart2.html</w:t>
        </w:r>
      </w:hyperlink>
    </w:p>
    <w:p w:rsidR="00CB5FAD" w:rsidRDefault="00720A35">
      <w:pPr>
        <w:pStyle w:val="Paragrafoelenco"/>
        <w:numPr>
          <w:ilvl w:val="0"/>
          <w:numId w:val="7"/>
        </w:numPr>
        <w:shd w:val="clear" w:color="auto" w:fill="FFFFFF"/>
      </w:pPr>
      <w:r>
        <w:rPr>
          <w:rFonts w:cstheme="minorHAnsi"/>
          <w:color w:val="000000" w:themeColor="text1"/>
          <w:sz w:val="20"/>
          <w:szCs w:val="20"/>
        </w:rPr>
        <w:t>XBX </w:t>
      </w:r>
      <w:hyperlink r:id="rId15">
        <w:r>
          <w:rPr>
            <w:rStyle w:val="CollegamentoInternet"/>
            <w:rFonts w:cstheme="minorHAnsi"/>
            <w:color w:val="000000" w:themeColor="text1"/>
            <w:sz w:val="20"/>
            <w:szCs w:val="20"/>
          </w:rPr>
          <w:t>https://web.archive.org/web/20061209204431/http://www.adam.com.au/wedesign/xbx.zip</w:t>
        </w:r>
      </w:hyperlink>
    </w:p>
    <w:p w:rsidR="00CB5FAD" w:rsidRDefault="00CB5FAD">
      <w:pPr>
        <w:pStyle w:val="Paragrafoelenco"/>
        <w:ind w:left="360"/>
        <w:rPr>
          <w:rFonts w:cstheme="minorHAnsi"/>
          <w:color w:val="000000" w:themeColor="text1"/>
          <w:sz w:val="20"/>
          <w:szCs w:val="20"/>
        </w:rPr>
      </w:pPr>
    </w:p>
    <w:p w:rsidR="00CB5FAD" w:rsidRDefault="00CB5FAD">
      <w:pPr>
        <w:shd w:val="clear" w:color="auto" w:fill="FFFFFF"/>
        <w:spacing w:after="0" w:line="240" w:lineRule="auto"/>
        <w:rPr>
          <w:rFonts w:eastAsia="Times New Roman" w:cstheme="minorHAnsi"/>
          <w:color w:val="000000" w:themeColor="text1"/>
          <w:sz w:val="24"/>
          <w:szCs w:val="24"/>
          <w:lang w:eastAsia="zh-CN"/>
        </w:rPr>
      </w:pPr>
    </w:p>
    <w:p w:rsidR="00CB5FAD" w:rsidRDefault="00CB5FAD">
      <w:pPr>
        <w:spacing w:after="0"/>
        <w:rPr>
          <w:rFonts w:cstheme="minorHAnsi"/>
          <w:i/>
          <w:color w:val="000000" w:themeColor="text1"/>
          <w:sz w:val="24"/>
          <w:szCs w:val="24"/>
        </w:rPr>
      </w:pPr>
    </w:p>
    <w:p w:rsidR="00CB5FAD" w:rsidRDefault="00CB5FAD">
      <w:pPr>
        <w:spacing w:after="0"/>
        <w:rPr>
          <w:rFonts w:cstheme="minorHAnsi"/>
          <w:i/>
          <w:color w:val="000000" w:themeColor="text1"/>
          <w:sz w:val="24"/>
          <w:szCs w:val="24"/>
        </w:rPr>
      </w:pPr>
    </w:p>
    <w:p w:rsidR="00CB5FAD" w:rsidRDefault="00CB5FAD">
      <w:pPr>
        <w:spacing w:after="0"/>
        <w:rPr>
          <w:rFonts w:cstheme="minorHAnsi"/>
          <w:i/>
          <w:color w:val="000000" w:themeColor="text1"/>
          <w:sz w:val="24"/>
          <w:szCs w:val="24"/>
        </w:rPr>
      </w:pPr>
    </w:p>
    <w:p w:rsidR="00CB5FAD" w:rsidRDefault="00CB5FAD">
      <w:pPr>
        <w:spacing w:after="0"/>
        <w:rPr>
          <w:rFonts w:cstheme="minorHAnsi"/>
          <w:i/>
          <w:color w:val="000000" w:themeColor="text1"/>
          <w:sz w:val="24"/>
          <w:szCs w:val="24"/>
        </w:rPr>
      </w:pPr>
    </w:p>
    <w:p w:rsidR="00CB5FAD" w:rsidRDefault="00CB5FAD">
      <w:pPr>
        <w:spacing w:after="0"/>
        <w:rPr>
          <w:rFonts w:cstheme="minorHAnsi"/>
          <w:i/>
          <w:color w:val="000000" w:themeColor="text1"/>
          <w:sz w:val="24"/>
          <w:szCs w:val="24"/>
        </w:rPr>
      </w:pPr>
    </w:p>
    <w:p w:rsidR="00CB5FAD" w:rsidRDefault="00CB5FAD">
      <w:pPr>
        <w:spacing w:after="0"/>
        <w:rPr>
          <w:rFonts w:cstheme="minorHAnsi"/>
          <w:i/>
          <w:color w:val="000000" w:themeColor="text1"/>
          <w:sz w:val="24"/>
          <w:szCs w:val="24"/>
        </w:rPr>
      </w:pPr>
    </w:p>
    <w:p w:rsidR="00CB5FAD" w:rsidRDefault="00CB5FAD">
      <w:pPr>
        <w:spacing w:after="0"/>
        <w:rPr>
          <w:rFonts w:cstheme="minorHAnsi"/>
          <w:b/>
          <w:color w:val="000000" w:themeColor="text1"/>
          <w:sz w:val="24"/>
          <w:szCs w:val="24"/>
        </w:rPr>
      </w:pPr>
    </w:p>
    <w:p w:rsidR="00CB5FAD" w:rsidRDefault="00720A35">
      <w:pPr>
        <w:spacing w:after="0"/>
        <w:rPr>
          <w:rFonts w:cstheme="minorHAnsi"/>
          <w:i/>
          <w:color w:val="000000" w:themeColor="text1"/>
          <w:sz w:val="24"/>
          <w:szCs w:val="24"/>
        </w:rPr>
      </w:pPr>
      <w:r>
        <w:rPr>
          <w:rFonts w:cstheme="minorHAnsi"/>
          <w:b/>
          <w:color w:val="000000" w:themeColor="text1"/>
          <w:sz w:val="24"/>
          <w:szCs w:val="24"/>
        </w:rPr>
        <w:t>* GRUPPO DI LAVORO TERRITORIO/OSPEDALE/UNIVERSITA’ SUL COVID-19</w:t>
      </w:r>
      <w:r>
        <w:rPr>
          <w:rFonts w:cstheme="minorHAnsi"/>
          <w:i/>
          <w:color w:val="000000" w:themeColor="text1"/>
          <w:sz w:val="24"/>
          <w:szCs w:val="24"/>
        </w:rPr>
        <w:t xml:space="preserve"> </w:t>
      </w:r>
    </w:p>
    <w:p w:rsidR="00CB5FAD" w:rsidRDefault="00720A35">
      <w:pPr>
        <w:spacing w:after="0"/>
        <w:rPr>
          <w:rFonts w:cstheme="minorHAnsi"/>
          <w:color w:val="000000" w:themeColor="text1"/>
          <w:sz w:val="20"/>
          <w:szCs w:val="20"/>
        </w:rPr>
      </w:pPr>
      <w:r>
        <w:rPr>
          <w:rFonts w:cstheme="minorHAnsi"/>
          <w:color w:val="000000" w:themeColor="text1"/>
          <w:sz w:val="20"/>
          <w:szCs w:val="20"/>
        </w:rPr>
        <w:t>(promosso dal Centro Studi di Medicina Generale FIMMG Verona e Keiron As.Me.G. Veneto, con il patrocinio dell’OMCeO di Verona)</w:t>
      </w:r>
    </w:p>
    <w:p w:rsidR="00CB5FAD" w:rsidRDefault="00CB5FAD">
      <w:pPr>
        <w:spacing w:after="0"/>
        <w:rPr>
          <w:rFonts w:cstheme="minorHAnsi"/>
          <w:color w:val="000000" w:themeColor="text1"/>
          <w:sz w:val="24"/>
          <w:szCs w:val="24"/>
        </w:rPr>
      </w:pPr>
    </w:p>
    <w:p w:rsidR="00CB5FAD" w:rsidRDefault="00720A35">
      <w:pPr>
        <w:spacing w:after="0"/>
        <w:rPr>
          <w:rFonts w:cstheme="minorHAnsi"/>
          <w:i/>
          <w:color w:val="000000" w:themeColor="text1"/>
          <w:sz w:val="20"/>
          <w:szCs w:val="20"/>
        </w:rPr>
      </w:pPr>
      <w:r>
        <w:rPr>
          <w:rFonts w:cstheme="minorHAnsi"/>
          <w:i/>
          <w:color w:val="000000" w:themeColor="text1"/>
          <w:sz w:val="20"/>
          <w:szCs w:val="20"/>
        </w:rPr>
        <w:t>Anna Albiero</w:t>
      </w:r>
      <w:r>
        <w:rPr>
          <w:rFonts w:cstheme="minorHAnsi"/>
          <w:i/>
          <w:color w:val="000000" w:themeColor="text1"/>
          <w:sz w:val="16"/>
          <w:szCs w:val="16"/>
        </w:rPr>
        <w:t>1</w:t>
      </w:r>
      <w:r>
        <w:rPr>
          <w:rFonts w:cstheme="minorHAnsi"/>
          <w:i/>
          <w:color w:val="000000" w:themeColor="text1"/>
          <w:sz w:val="20"/>
          <w:szCs w:val="20"/>
        </w:rPr>
        <w:t>, Claudio Andreoli</w:t>
      </w:r>
      <w:r>
        <w:rPr>
          <w:rFonts w:cstheme="minorHAnsi"/>
          <w:i/>
          <w:color w:val="000000" w:themeColor="text1"/>
          <w:sz w:val="16"/>
          <w:szCs w:val="16"/>
        </w:rPr>
        <w:t>2a</w:t>
      </w:r>
      <w:r>
        <w:rPr>
          <w:rFonts w:cstheme="minorHAnsi"/>
          <w:i/>
          <w:color w:val="000000" w:themeColor="text1"/>
          <w:sz w:val="20"/>
          <w:szCs w:val="20"/>
        </w:rPr>
        <w:t>, Mario Baruchello</w:t>
      </w:r>
      <w:r>
        <w:rPr>
          <w:rFonts w:cstheme="minorHAnsi"/>
          <w:i/>
          <w:color w:val="000000" w:themeColor="text1"/>
          <w:sz w:val="16"/>
          <w:szCs w:val="16"/>
        </w:rPr>
        <w:t>2b</w:t>
      </w:r>
      <w:r>
        <w:rPr>
          <w:rFonts w:cstheme="minorHAnsi"/>
          <w:i/>
          <w:color w:val="000000" w:themeColor="text1"/>
          <w:sz w:val="20"/>
          <w:szCs w:val="20"/>
        </w:rPr>
        <w:t>, Gianstefano Blengio</w:t>
      </w:r>
      <w:r>
        <w:rPr>
          <w:rFonts w:cstheme="minorHAnsi"/>
          <w:i/>
          <w:color w:val="000000" w:themeColor="text1"/>
          <w:sz w:val="16"/>
          <w:szCs w:val="16"/>
        </w:rPr>
        <w:t>3</w:t>
      </w:r>
      <w:r>
        <w:rPr>
          <w:rFonts w:cstheme="minorHAnsi"/>
          <w:i/>
          <w:color w:val="000000" w:themeColor="text1"/>
          <w:sz w:val="20"/>
          <w:szCs w:val="20"/>
        </w:rPr>
        <w:t>, Attilio Boner</w:t>
      </w:r>
      <w:r>
        <w:rPr>
          <w:rFonts w:cstheme="minorHAnsi"/>
          <w:i/>
          <w:color w:val="000000" w:themeColor="text1"/>
          <w:sz w:val="16"/>
          <w:szCs w:val="16"/>
        </w:rPr>
        <w:t>4a</w:t>
      </w:r>
      <w:r>
        <w:rPr>
          <w:rFonts w:cstheme="minorHAnsi"/>
          <w:i/>
          <w:color w:val="000000" w:themeColor="text1"/>
          <w:sz w:val="20"/>
          <w:szCs w:val="20"/>
        </w:rPr>
        <w:t>, Vito Bossone</w:t>
      </w:r>
      <w:r>
        <w:rPr>
          <w:rFonts w:cstheme="minorHAnsi"/>
          <w:i/>
          <w:color w:val="000000" w:themeColor="text1"/>
          <w:sz w:val="16"/>
          <w:szCs w:val="16"/>
        </w:rPr>
        <w:t>2c</w:t>
      </w:r>
      <w:r>
        <w:rPr>
          <w:rFonts w:cstheme="minorHAnsi"/>
          <w:i/>
          <w:color w:val="000000" w:themeColor="text1"/>
          <w:sz w:val="20"/>
          <w:szCs w:val="20"/>
        </w:rPr>
        <w:t>, Franco Bressan</w:t>
      </w:r>
      <w:r>
        <w:rPr>
          <w:rFonts w:cstheme="minorHAnsi"/>
          <w:i/>
          <w:color w:val="000000" w:themeColor="text1"/>
          <w:sz w:val="16"/>
          <w:szCs w:val="16"/>
        </w:rPr>
        <w:t>5</w:t>
      </w:r>
      <w:r>
        <w:rPr>
          <w:rFonts w:cstheme="minorHAnsi"/>
          <w:i/>
          <w:color w:val="000000" w:themeColor="text1"/>
          <w:sz w:val="20"/>
          <w:szCs w:val="20"/>
        </w:rPr>
        <w:t>, Mara Cabriolu</w:t>
      </w:r>
      <w:r>
        <w:rPr>
          <w:rFonts w:cstheme="minorHAnsi"/>
          <w:i/>
          <w:color w:val="000000" w:themeColor="text1"/>
          <w:sz w:val="16"/>
          <w:szCs w:val="16"/>
        </w:rPr>
        <w:t>2a</w:t>
      </w:r>
      <w:r>
        <w:rPr>
          <w:rFonts w:cstheme="minorHAnsi"/>
          <w:i/>
          <w:color w:val="000000" w:themeColor="text1"/>
          <w:sz w:val="20"/>
          <w:szCs w:val="20"/>
        </w:rPr>
        <w:t>, Alessandro Calderan</w:t>
      </w:r>
      <w:r>
        <w:rPr>
          <w:rFonts w:cstheme="minorHAnsi"/>
          <w:i/>
          <w:color w:val="000000" w:themeColor="text1"/>
          <w:sz w:val="16"/>
          <w:szCs w:val="16"/>
        </w:rPr>
        <w:t>2d</w:t>
      </w:r>
      <w:r>
        <w:rPr>
          <w:rFonts w:cstheme="minorHAnsi"/>
          <w:i/>
          <w:color w:val="000000" w:themeColor="text1"/>
          <w:sz w:val="20"/>
          <w:szCs w:val="20"/>
        </w:rPr>
        <w:t>, Francesco Cavasin</w:t>
      </w:r>
      <w:r>
        <w:rPr>
          <w:rFonts w:cstheme="minorHAnsi"/>
          <w:i/>
          <w:color w:val="000000" w:themeColor="text1"/>
          <w:sz w:val="16"/>
          <w:szCs w:val="16"/>
        </w:rPr>
        <w:t>2e</w:t>
      </w:r>
      <w:r>
        <w:rPr>
          <w:rFonts w:cstheme="minorHAnsi"/>
          <w:i/>
          <w:color w:val="000000" w:themeColor="text1"/>
          <w:sz w:val="20"/>
          <w:szCs w:val="20"/>
        </w:rPr>
        <w:t>, Giampietro Chiamenti</w:t>
      </w:r>
      <w:r>
        <w:rPr>
          <w:rFonts w:cstheme="minorHAnsi"/>
          <w:i/>
          <w:color w:val="000000" w:themeColor="text1"/>
          <w:sz w:val="16"/>
          <w:szCs w:val="16"/>
        </w:rPr>
        <w:t>4b</w:t>
      </w:r>
      <w:r>
        <w:rPr>
          <w:rFonts w:cstheme="minorHAnsi"/>
          <w:i/>
          <w:color w:val="000000" w:themeColor="text1"/>
          <w:sz w:val="20"/>
          <w:szCs w:val="20"/>
        </w:rPr>
        <w:t>, Ercole Concia</w:t>
      </w:r>
      <w:r>
        <w:rPr>
          <w:rFonts w:cstheme="minorHAnsi"/>
          <w:i/>
          <w:color w:val="000000" w:themeColor="text1"/>
          <w:sz w:val="16"/>
          <w:szCs w:val="16"/>
        </w:rPr>
        <w:t>6</w:t>
      </w:r>
      <w:r>
        <w:rPr>
          <w:rFonts w:cstheme="minorHAnsi"/>
          <w:i/>
          <w:color w:val="000000" w:themeColor="text1"/>
          <w:sz w:val="20"/>
          <w:szCs w:val="20"/>
        </w:rPr>
        <w:t>, Gianni Dal Cortivo</w:t>
      </w:r>
      <w:r>
        <w:rPr>
          <w:rFonts w:cstheme="minorHAnsi"/>
          <w:i/>
          <w:color w:val="000000" w:themeColor="text1"/>
          <w:sz w:val="16"/>
          <w:szCs w:val="16"/>
        </w:rPr>
        <w:t>2a</w:t>
      </w:r>
      <w:r>
        <w:rPr>
          <w:rFonts w:cstheme="minorHAnsi"/>
          <w:i/>
          <w:color w:val="000000" w:themeColor="text1"/>
          <w:sz w:val="20"/>
          <w:szCs w:val="20"/>
        </w:rPr>
        <w:t>, Umberto De Conto</w:t>
      </w:r>
      <w:r>
        <w:rPr>
          <w:rFonts w:cstheme="minorHAnsi"/>
          <w:i/>
          <w:color w:val="000000" w:themeColor="text1"/>
          <w:sz w:val="16"/>
          <w:szCs w:val="16"/>
        </w:rPr>
        <w:t>2e</w:t>
      </w:r>
      <w:r>
        <w:rPr>
          <w:rFonts w:cstheme="minorHAnsi"/>
          <w:i/>
          <w:color w:val="000000" w:themeColor="text1"/>
          <w:sz w:val="20"/>
          <w:szCs w:val="20"/>
        </w:rPr>
        <w:t>, Gabriele Di Cesare</w:t>
      </w:r>
      <w:r>
        <w:rPr>
          <w:rFonts w:cstheme="minorHAnsi"/>
          <w:i/>
          <w:color w:val="000000" w:themeColor="text1"/>
          <w:sz w:val="16"/>
          <w:szCs w:val="16"/>
        </w:rPr>
        <w:t>2a</w:t>
      </w:r>
      <w:r>
        <w:rPr>
          <w:rFonts w:cstheme="minorHAnsi"/>
          <w:i/>
          <w:color w:val="000000" w:themeColor="text1"/>
          <w:sz w:val="20"/>
          <w:szCs w:val="20"/>
        </w:rPr>
        <w:t>, Guglielmo Frapporti</w:t>
      </w:r>
      <w:r>
        <w:rPr>
          <w:rFonts w:cstheme="minorHAnsi"/>
          <w:i/>
          <w:color w:val="000000" w:themeColor="text1"/>
          <w:sz w:val="16"/>
          <w:szCs w:val="16"/>
        </w:rPr>
        <w:t>2a</w:t>
      </w:r>
      <w:r>
        <w:rPr>
          <w:rFonts w:cstheme="minorHAnsi"/>
          <w:i/>
          <w:color w:val="000000" w:themeColor="text1"/>
          <w:sz w:val="20"/>
          <w:szCs w:val="20"/>
        </w:rPr>
        <w:t>, Mariateresa Gallea</w:t>
      </w:r>
      <w:r>
        <w:rPr>
          <w:rFonts w:cstheme="minorHAnsi"/>
          <w:i/>
          <w:color w:val="000000" w:themeColor="text1"/>
          <w:sz w:val="16"/>
          <w:szCs w:val="16"/>
        </w:rPr>
        <w:t>2c</w:t>
      </w:r>
      <w:r>
        <w:rPr>
          <w:rFonts w:cstheme="minorHAnsi"/>
          <w:i/>
          <w:color w:val="000000" w:themeColor="text1"/>
          <w:sz w:val="20"/>
          <w:szCs w:val="20"/>
        </w:rPr>
        <w:t>, Graziano Ghirelli</w:t>
      </w:r>
      <w:r>
        <w:rPr>
          <w:rFonts w:cstheme="minorHAnsi"/>
          <w:i/>
          <w:color w:val="000000" w:themeColor="text1"/>
          <w:sz w:val="16"/>
          <w:szCs w:val="16"/>
        </w:rPr>
        <w:t>2a</w:t>
      </w:r>
      <w:r>
        <w:rPr>
          <w:rFonts w:cstheme="minorHAnsi"/>
          <w:i/>
          <w:color w:val="000000" w:themeColor="text1"/>
          <w:sz w:val="20"/>
          <w:szCs w:val="20"/>
        </w:rPr>
        <w:t>, Davide Gibellini</w:t>
      </w:r>
      <w:r>
        <w:rPr>
          <w:rFonts w:cstheme="minorHAnsi"/>
          <w:i/>
          <w:color w:val="000000" w:themeColor="text1"/>
          <w:sz w:val="16"/>
          <w:szCs w:val="16"/>
        </w:rPr>
        <w:t>7</w:t>
      </w:r>
      <w:r>
        <w:rPr>
          <w:rFonts w:cstheme="minorHAnsi"/>
          <w:i/>
          <w:color w:val="000000" w:themeColor="text1"/>
          <w:sz w:val="20"/>
          <w:szCs w:val="20"/>
        </w:rPr>
        <w:t>, Sandro Girotto</w:t>
      </w:r>
      <w:r>
        <w:rPr>
          <w:rFonts w:cstheme="minorHAnsi"/>
          <w:i/>
          <w:color w:val="000000" w:themeColor="text1"/>
          <w:sz w:val="16"/>
          <w:szCs w:val="16"/>
        </w:rPr>
        <w:t>2</w:t>
      </w:r>
      <w:r>
        <w:rPr>
          <w:rFonts w:cstheme="minorHAnsi"/>
          <w:i/>
          <w:color w:val="000000" w:themeColor="text1"/>
          <w:sz w:val="20"/>
          <w:szCs w:val="20"/>
        </w:rPr>
        <w:t>, Gio Batta Gottardi</w:t>
      </w:r>
      <w:r>
        <w:rPr>
          <w:rFonts w:cstheme="minorHAnsi"/>
          <w:i/>
          <w:color w:val="000000" w:themeColor="text1"/>
          <w:sz w:val="16"/>
          <w:szCs w:val="16"/>
        </w:rPr>
        <w:t>2</w:t>
      </w:r>
      <w:r>
        <w:rPr>
          <w:rFonts w:cstheme="minorHAnsi"/>
          <w:i/>
          <w:color w:val="000000" w:themeColor="text1"/>
          <w:sz w:val="20"/>
          <w:szCs w:val="20"/>
        </w:rPr>
        <w:t>, Stefano Ivis</w:t>
      </w:r>
      <w:r>
        <w:rPr>
          <w:rFonts w:cstheme="minorHAnsi"/>
          <w:i/>
          <w:color w:val="000000" w:themeColor="text1"/>
          <w:sz w:val="16"/>
          <w:szCs w:val="16"/>
        </w:rPr>
        <w:t>2c</w:t>
      </w:r>
      <w:r>
        <w:rPr>
          <w:rFonts w:cstheme="minorHAnsi"/>
          <w:i/>
          <w:color w:val="000000" w:themeColor="text1"/>
          <w:sz w:val="20"/>
          <w:szCs w:val="20"/>
        </w:rPr>
        <w:t>, Alessandro Leso</w:t>
      </w:r>
      <w:r>
        <w:rPr>
          <w:rFonts w:cstheme="minorHAnsi"/>
          <w:i/>
          <w:color w:val="000000" w:themeColor="text1"/>
          <w:sz w:val="16"/>
          <w:szCs w:val="16"/>
        </w:rPr>
        <w:t>2a</w:t>
      </w:r>
      <w:r>
        <w:rPr>
          <w:rFonts w:cstheme="minorHAnsi"/>
          <w:i/>
          <w:color w:val="000000" w:themeColor="text1"/>
          <w:sz w:val="20"/>
          <w:szCs w:val="20"/>
        </w:rPr>
        <w:t>, Alessandro Masotti</w:t>
      </w:r>
      <w:r>
        <w:rPr>
          <w:rFonts w:cstheme="minorHAnsi"/>
          <w:i/>
          <w:color w:val="000000" w:themeColor="text1"/>
          <w:sz w:val="16"/>
          <w:szCs w:val="16"/>
        </w:rPr>
        <w:t>8a</w:t>
      </w:r>
      <w:r>
        <w:rPr>
          <w:rFonts w:cstheme="minorHAnsi"/>
          <w:i/>
          <w:color w:val="000000" w:themeColor="text1"/>
          <w:sz w:val="20"/>
          <w:szCs w:val="20"/>
        </w:rPr>
        <w:t>, Claudio Micheletto</w:t>
      </w:r>
      <w:r>
        <w:rPr>
          <w:rFonts w:cstheme="minorHAnsi"/>
          <w:i/>
          <w:color w:val="000000" w:themeColor="text1"/>
          <w:sz w:val="16"/>
          <w:szCs w:val="16"/>
        </w:rPr>
        <w:t>8b</w:t>
      </w:r>
      <w:r>
        <w:rPr>
          <w:rFonts w:cstheme="minorHAnsi"/>
          <w:i/>
          <w:color w:val="000000" w:themeColor="text1"/>
          <w:sz w:val="20"/>
          <w:szCs w:val="20"/>
        </w:rPr>
        <w:t>, Gianluigi Passerini</w:t>
      </w:r>
      <w:r>
        <w:rPr>
          <w:rFonts w:cstheme="minorHAnsi"/>
          <w:i/>
          <w:color w:val="000000" w:themeColor="text1"/>
          <w:sz w:val="16"/>
          <w:szCs w:val="16"/>
        </w:rPr>
        <w:t>2f</w:t>
      </w:r>
      <w:r>
        <w:rPr>
          <w:rFonts w:cstheme="minorHAnsi"/>
          <w:i/>
          <w:color w:val="000000" w:themeColor="text1"/>
          <w:sz w:val="20"/>
          <w:szCs w:val="20"/>
        </w:rPr>
        <w:t>, Giovanni Passerini</w:t>
      </w:r>
      <w:r>
        <w:rPr>
          <w:rFonts w:cstheme="minorHAnsi"/>
          <w:i/>
          <w:color w:val="000000" w:themeColor="text1"/>
          <w:sz w:val="16"/>
          <w:szCs w:val="16"/>
        </w:rPr>
        <w:t>2f</w:t>
      </w:r>
      <w:r>
        <w:rPr>
          <w:rFonts w:cstheme="minorHAnsi"/>
          <w:i/>
          <w:color w:val="000000" w:themeColor="text1"/>
          <w:sz w:val="20"/>
          <w:szCs w:val="20"/>
        </w:rPr>
        <w:t>, Roberto Mora</w:t>
      </w:r>
      <w:r>
        <w:rPr>
          <w:rFonts w:cstheme="minorHAnsi"/>
          <w:i/>
          <w:color w:val="000000" w:themeColor="text1"/>
          <w:sz w:val="16"/>
          <w:szCs w:val="16"/>
        </w:rPr>
        <w:t>2a</w:t>
      </w:r>
      <w:r>
        <w:rPr>
          <w:rFonts w:cstheme="minorHAnsi"/>
          <w:i/>
          <w:color w:val="000000" w:themeColor="text1"/>
          <w:sz w:val="20"/>
          <w:szCs w:val="20"/>
        </w:rPr>
        <w:t>, Giulio Rigon</w:t>
      </w:r>
      <w:r>
        <w:rPr>
          <w:rFonts w:cstheme="minorHAnsi"/>
          <w:i/>
          <w:color w:val="000000" w:themeColor="text1"/>
          <w:sz w:val="16"/>
          <w:szCs w:val="16"/>
        </w:rPr>
        <w:t>2a</w:t>
      </w:r>
      <w:r>
        <w:rPr>
          <w:rFonts w:cstheme="minorHAnsi"/>
          <w:i/>
          <w:color w:val="000000" w:themeColor="text1"/>
          <w:sz w:val="20"/>
          <w:szCs w:val="20"/>
        </w:rPr>
        <w:t>, Carlo Rugiu</w:t>
      </w:r>
      <w:r>
        <w:rPr>
          <w:rFonts w:cstheme="minorHAnsi"/>
          <w:i/>
          <w:color w:val="000000" w:themeColor="text1"/>
          <w:sz w:val="16"/>
          <w:szCs w:val="16"/>
        </w:rPr>
        <w:t>9</w:t>
      </w:r>
      <w:r>
        <w:rPr>
          <w:rFonts w:cstheme="minorHAnsi"/>
          <w:i/>
          <w:color w:val="000000" w:themeColor="text1"/>
          <w:sz w:val="20"/>
          <w:szCs w:val="20"/>
        </w:rPr>
        <w:t>, Diego Sabbi</w:t>
      </w:r>
      <w:r>
        <w:rPr>
          <w:rFonts w:cstheme="minorHAnsi"/>
          <w:i/>
          <w:color w:val="000000" w:themeColor="text1"/>
          <w:sz w:val="16"/>
          <w:szCs w:val="16"/>
        </w:rPr>
        <w:t>2g</w:t>
      </w:r>
      <w:r>
        <w:rPr>
          <w:rFonts w:cstheme="minorHAnsi"/>
          <w:i/>
          <w:color w:val="000000" w:themeColor="text1"/>
          <w:sz w:val="20"/>
          <w:szCs w:val="20"/>
        </w:rPr>
        <w:t>, Renzo Soave</w:t>
      </w:r>
      <w:r>
        <w:rPr>
          <w:rFonts w:cstheme="minorHAnsi"/>
          <w:i/>
          <w:color w:val="000000" w:themeColor="text1"/>
          <w:sz w:val="16"/>
          <w:szCs w:val="16"/>
        </w:rPr>
        <w:t>2a</w:t>
      </w:r>
      <w:r>
        <w:rPr>
          <w:rFonts w:cstheme="minorHAnsi"/>
          <w:i/>
          <w:color w:val="000000" w:themeColor="text1"/>
          <w:sz w:val="20"/>
          <w:szCs w:val="20"/>
        </w:rPr>
        <w:t>, Claudio Sovran</w:t>
      </w:r>
      <w:r>
        <w:rPr>
          <w:rFonts w:cstheme="minorHAnsi"/>
          <w:i/>
          <w:color w:val="000000" w:themeColor="text1"/>
          <w:sz w:val="16"/>
          <w:szCs w:val="16"/>
        </w:rPr>
        <w:t>2a</w:t>
      </w:r>
      <w:r>
        <w:rPr>
          <w:rFonts w:cstheme="minorHAnsi"/>
          <w:i/>
          <w:color w:val="000000" w:themeColor="text1"/>
          <w:sz w:val="20"/>
          <w:szCs w:val="20"/>
        </w:rPr>
        <w:t>, Giampietro Stefani</w:t>
      </w:r>
      <w:r>
        <w:rPr>
          <w:rFonts w:cstheme="minorHAnsi"/>
          <w:i/>
          <w:color w:val="000000" w:themeColor="text1"/>
          <w:sz w:val="16"/>
          <w:szCs w:val="16"/>
        </w:rPr>
        <w:t>2h</w:t>
      </w:r>
      <w:r>
        <w:rPr>
          <w:rFonts w:cstheme="minorHAnsi"/>
          <w:i/>
          <w:color w:val="000000" w:themeColor="text1"/>
          <w:sz w:val="20"/>
          <w:szCs w:val="20"/>
        </w:rPr>
        <w:t>, Massimo Valsecchi</w:t>
      </w:r>
      <w:r>
        <w:rPr>
          <w:rFonts w:cstheme="minorHAnsi"/>
          <w:i/>
          <w:color w:val="000000" w:themeColor="text1"/>
          <w:sz w:val="16"/>
          <w:szCs w:val="16"/>
        </w:rPr>
        <w:t>3</w:t>
      </w:r>
      <w:r>
        <w:rPr>
          <w:rFonts w:cstheme="minorHAnsi"/>
          <w:i/>
          <w:color w:val="000000" w:themeColor="text1"/>
          <w:sz w:val="20"/>
          <w:szCs w:val="20"/>
        </w:rPr>
        <w:t>, Marco Visconti</w:t>
      </w:r>
      <w:r>
        <w:rPr>
          <w:rFonts w:cstheme="minorHAnsi"/>
          <w:i/>
          <w:color w:val="000000" w:themeColor="text1"/>
          <w:sz w:val="16"/>
          <w:szCs w:val="16"/>
        </w:rPr>
        <w:t>2i</w:t>
      </w:r>
      <w:r>
        <w:rPr>
          <w:rFonts w:cstheme="minorHAnsi"/>
          <w:i/>
          <w:color w:val="000000" w:themeColor="text1"/>
          <w:sz w:val="20"/>
          <w:szCs w:val="20"/>
        </w:rPr>
        <w:t>, Sonia Zenari</w:t>
      </w:r>
      <w:r>
        <w:rPr>
          <w:rFonts w:cstheme="minorHAnsi"/>
          <w:i/>
          <w:color w:val="000000" w:themeColor="text1"/>
          <w:sz w:val="16"/>
          <w:szCs w:val="16"/>
        </w:rPr>
        <w:t>2a</w:t>
      </w:r>
    </w:p>
    <w:p w:rsidR="00CB5FAD" w:rsidRDefault="00CB5FAD">
      <w:pPr>
        <w:spacing w:after="0"/>
        <w:rPr>
          <w:rFonts w:cstheme="minorHAnsi"/>
          <w:i/>
          <w:color w:val="000000" w:themeColor="text1"/>
          <w:sz w:val="24"/>
          <w:szCs w:val="24"/>
        </w:rPr>
      </w:pPr>
    </w:p>
    <w:p w:rsidR="00CB5FAD" w:rsidRDefault="00720A35">
      <w:pPr>
        <w:pStyle w:val="Paragrafoelenco"/>
        <w:numPr>
          <w:ilvl w:val="0"/>
          <w:numId w:val="8"/>
        </w:numPr>
        <w:spacing w:after="0"/>
        <w:rPr>
          <w:rFonts w:cstheme="minorHAnsi"/>
          <w:i/>
          <w:color w:val="000000" w:themeColor="text1"/>
          <w:sz w:val="16"/>
          <w:szCs w:val="16"/>
        </w:rPr>
      </w:pPr>
      <w:r>
        <w:rPr>
          <w:rFonts w:cstheme="minorHAnsi"/>
          <w:i/>
          <w:color w:val="000000" w:themeColor="text1"/>
          <w:sz w:val="16"/>
          <w:szCs w:val="16"/>
        </w:rPr>
        <w:t xml:space="preserve"> Medico, Unità Covid PS, Ospedale San Bonifacio (VR)</w:t>
      </w:r>
    </w:p>
    <w:p w:rsidR="00CB5FAD" w:rsidRDefault="00720A35">
      <w:pPr>
        <w:pStyle w:val="Paragrafoelenco"/>
        <w:numPr>
          <w:ilvl w:val="0"/>
          <w:numId w:val="8"/>
        </w:numPr>
        <w:spacing w:after="0"/>
        <w:rPr>
          <w:rFonts w:cstheme="minorHAnsi"/>
          <w:i/>
          <w:color w:val="000000" w:themeColor="text1"/>
          <w:sz w:val="16"/>
          <w:szCs w:val="16"/>
        </w:rPr>
      </w:pPr>
      <w:r>
        <w:rPr>
          <w:rFonts w:cstheme="minorHAnsi"/>
          <w:i/>
          <w:color w:val="000000" w:themeColor="text1"/>
          <w:sz w:val="16"/>
          <w:szCs w:val="16"/>
        </w:rPr>
        <w:t xml:space="preserve"> MMG, a Verona, b Bassano, c Padova, d Venezia, e Treviso, f Sondrio, g Alessandria, h Vicenza, i Crema</w:t>
      </w:r>
    </w:p>
    <w:p w:rsidR="00CB5FAD" w:rsidRDefault="00720A35">
      <w:pPr>
        <w:pStyle w:val="Paragrafoelenco"/>
        <w:numPr>
          <w:ilvl w:val="0"/>
          <w:numId w:val="8"/>
        </w:numPr>
        <w:spacing w:after="0"/>
        <w:rPr>
          <w:rFonts w:cstheme="minorHAnsi"/>
          <w:i/>
          <w:color w:val="000000" w:themeColor="text1"/>
          <w:sz w:val="16"/>
          <w:szCs w:val="16"/>
        </w:rPr>
      </w:pPr>
      <w:r>
        <w:rPr>
          <w:rFonts w:cstheme="minorHAnsi"/>
          <w:i/>
          <w:color w:val="000000" w:themeColor="text1"/>
          <w:sz w:val="16"/>
          <w:szCs w:val="16"/>
        </w:rPr>
        <w:t xml:space="preserve"> Epidemiologo, Verona</w:t>
      </w:r>
    </w:p>
    <w:p w:rsidR="00CB5FAD" w:rsidRDefault="00720A35">
      <w:pPr>
        <w:pStyle w:val="Paragrafoelenco"/>
        <w:numPr>
          <w:ilvl w:val="0"/>
          <w:numId w:val="8"/>
        </w:numPr>
        <w:spacing w:after="0"/>
        <w:rPr>
          <w:rFonts w:cstheme="minorHAnsi"/>
          <w:i/>
          <w:color w:val="000000" w:themeColor="text1"/>
          <w:sz w:val="16"/>
          <w:szCs w:val="16"/>
        </w:rPr>
      </w:pPr>
      <w:r>
        <w:rPr>
          <w:rFonts w:cstheme="minorHAnsi"/>
          <w:i/>
          <w:color w:val="000000" w:themeColor="text1"/>
          <w:sz w:val="16"/>
          <w:szCs w:val="16"/>
        </w:rPr>
        <w:t xml:space="preserve"> Pediatra, a Università di Verona, b Pediatra LS Verona</w:t>
      </w:r>
    </w:p>
    <w:p w:rsidR="00CB5FAD" w:rsidRDefault="00720A35">
      <w:pPr>
        <w:pStyle w:val="Paragrafoelenco"/>
        <w:numPr>
          <w:ilvl w:val="0"/>
          <w:numId w:val="8"/>
        </w:numPr>
        <w:spacing w:after="0"/>
        <w:rPr>
          <w:rFonts w:cstheme="minorHAnsi"/>
          <w:i/>
          <w:color w:val="000000" w:themeColor="text1"/>
          <w:sz w:val="16"/>
          <w:szCs w:val="16"/>
        </w:rPr>
      </w:pPr>
      <w:r>
        <w:rPr>
          <w:rFonts w:cstheme="minorHAnsi"/>
          <w:i/>
          <w:color w:val="000000" w:themeColor="text1"/>
          <w:sz w:val="16"/>
          <w:szCs w:val="16"/>
        </w:rPr>
        <w:t xml:space="preserve"> Statistico, Università di Verona</w:t>
      </w:r>
    </w:p>
    <w:p w:rsidR="00CB5FAD" w:rsidRDefault="00720A35">
      <w:pPr>
        <w:pStyle w:val="Paragrafoelenco"/>
        <w:numPr>
          <w:ilvl w:val="0"/>
          <w:numId w:val="8"/>
        </w:numPr>
        <w:spacing w:after="0"/>
        <w:rPr>
          <w:rFonts w:cstheme="minorHAnsi"/>
          <w:i/>
          <w:color w:val="000000" w:themeColor="text1"/>
          <w:sz w:val="16"/>
          <w:szCs w:val="16"/>
        </w:rPr>
      </w:pPr>
      <w:r>
        <w:rPr>
          <w:rFonts w:cstheme="minorHAnsi"/>
          <w:i/>
          <w:color w:val="000000" w:themeColor="text1"/>
          <w:sz w:val="16"/>
          <w:szCs w:val="16"/>
        </w:rPr>
        <w:t xml:space="preserve"> Infettivologo, Università di Verona</w:t>
      </w:r>
    </w:p>
    <w:p w:rsidR="00CB5FAD" w:rsidRDefault="00720A35">
      <w:pPr>
        <w:pStyle w:val="Paragrafoelenco"/>
        <w:numPr>
          <w:ilvl w:val="0"/>
          <w:numId w:val="8"/>
        </w:numPr>
        <w:spacing w:after="0"/>
        <w:rPr>
          <w:rFonts w:cstheme="minorHAnsi"/>
          <w:i/>
          <w:color w:val="000000" w:themeColor="text1"/>
          <w:sz w:val="16"/>
          <w:szCs w:val="16"/>
        </w:rPr>
      </w:pPr>
      <w:r>
        <w:rPr>
          <w:rFonts w:cstheme="minorHAnsi"/>
          <w:i/>
          <w:color w:val="000000" w:themeColor="text1"/>
          <w:sz w:val="16"/>
          <w:szCs w:val="16"/>
        </w:rPr>
        <w:t>Virologo, Università di Verona</w:t>
      </w:r>
    </w:p>
    <w:p w:rsidR="00CB5FAD" w:rsidRDefault="00720A35">
      <w:pPr>
        <w:pStyle w:val="Paragrafoelenco"/>
        <w:numPr>
          <w:ilvl w:val="0"/>
          <w:numId w:val="8"/>
        </w:numPr>
        <w:spacing w:after="0"/>
        <w:rPr>
          <w:rFonts w:cstheme="minorHAnsi"/>
          <w:i/>
          <w:color w:val="000000" w:themeColor="text1"/>
          <w:sz w:val="16"/>
          <w:szCs w:val="16"/>
        </w:rPr>
      </w:pPr>
      <w:r>
        <w:rPr>
          <w:rFonts w:cstheme="minorHAnsi"/>
          <w:i/>
          <w:color w:val="000000" w:themeColor="text1"/>
          <w:sz w:val="16"/>
          <w:szCs w:val="16"/>
        </w:rPr>
        <w:t>Pneumologo, a Ospedale di Peschiera (VR), b Ospedale di Verona</w:t>
      </w:r>
    </w:p>
    <w:p w:rsidR="00CB5FAD" w:rsidRDefault="00720A35">
      <w:pPr>
        <w:pStyle w:val="Paragrafoelenco"/>
        <w:numPr>
          <w:ilvl w:val="0"/>
          <w:numId w:val="8"/>
        </w:numPr>
        <w:spacing w:after="0"/>
        <w:rPr>
          <w:rFonts w:cstheme="minorHAnsi"/>
          <w:i/>
          <w:color w:val="000000" w:themeColor="text1"/>
          <w:sz w:val="16"/>
          <w:szCs w:val="16"/>
        </w:rPr>
      </w:pPr>
      <w:r>
        <w:rPr>
          <w:rFonts w:cstheme="minorHAnsi"/>
          <w:i/>
          <w:color w:val="000000" w:themeColor="text1"/>
          <w:sz w:val="16"/>
          <w:szCs w:val="16"/>
        </w:rPr>
        <w:t>Nefrologo, Ospedale di Legnago (VR)</w:t>
      </w:r>
    </w:p>
    <w:p w:rsidR="00CB5FAD" w:rsidRDefault="00CB5FAD">
      <w:pPr>
        <w:spacing w:after="0"/>
        <w:rPr>
          <w:rFonts w:cstheme="minorHAnsi"/>
          <w:i/>
          <w:color w:val="000000" w:themeColor="text1"/>
          <w:sz w:val="18"/>
          <w:szCs w:val="18"/>
        </w:rPr>
      </w:pPr>
    </w:p>
    <w:p w:rsidR="00CB5FAD" w:rsidRDefault="00CB5FAD">
      <w:pPr>
        <w:spacing w:after="0"/>
        <w:rPr>
          <w:rFonts w:cstheme="minorHAnsi"/>
          <w:color w:val="000000" w:themeColor="text1"/>
          <w:sz w:val="24"/>
          <w:szCs w:val="24"/>
        </w:rPr>
      </w:pPr>
    </w:p>
    <w:p w:rsidR="00CB5FAD" w:rsidRDefault="00CB5FAD">
      <w:pPr>
        <w:spacing w:after="0"/>
      </w:pPr>
    </w:p>
    <w:sectPr w:rsidR="00CB5FAD">
      <w:footerReference w:type="default" r:id="rId16"/>
      <w:pgSz w:w="11906" w:h="16838"/>
      <w:pgMar w:top="1417" w:right="1134" w:bottom="1134" w:left="1134" w:header="0"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54A" w:rsidRDefault="00B4754A">
      <w:pPr>
        <w:spacing w:after="0" w:line="240" w:lineRule="auto"/>
      </w:pPr>
      <w:r>
        <w:separator/>
      </w:r>
    </w:p>
  </w:endnote>
  <w:endnote w:type="continuationSeparator" w:id="0">
    <w:p w:rsidR="00B4754A" w:rsidRDefault="00B47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626388"/>
      <w:docPartObj>
        <w:docPartGallery w:val="Page Numbers (Bottom of Page)"/>
        <w:docPartUnique/>
      </w:docPartObj>
    </w:sdtPr>
    <w:sdtEndPr/>
    <w:sdtContent>
      <w:p w:rsidR="00CB5FAD" w:rsidRDefault="00720A35">
        <w:pPr>
          <w:pStyle w:val="Pidipagina"/>
        </w:pPr>
        <w:r>
          <w:rPr>
            <w:rStyle w:val="Numeropagina"/>
          </w:rPr>
          <w:fldChar w:fldCharType="begin"/>
        </w:r>
        <w:r>
          <w:instrText>PAGE</w:instrText>
        </w:r>
        <w:r>
          <w:fldChar w:fldCharType="separate"/>
        </w:r>
        <w:r w:rsidR="00DA58FC">
          <w:rPr>
            <w:noProof/>
          </w:rPr>
          <w:t>2</w:t>
        </w:r>
        <w:r>
          <w:fldChar w:fldCharType="end"/>
        </w:r>
      </w:p>
    </w:sdtContent>
  </w:sdt>
  <w:p w:rsidR="00CB5FAD" w:rsidRDefault="00CB5FAD">
    <w:pPr>
      <w:pStyle w:val="Pidipa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54A" w:rsidRDefault="00B4754A">
      <w:pPr>
        <w:spacing w:after="0" w:line="240" w:lineRule="auto"/>
      </w:pPr>
      <w:r>
        <w:separator/>
      </w:r>
    </w:p>
  </w:footnote>
  <w:footnote w:type="continuationSeparator" w:id="0">
    <w:p w:rsidR="00B4754A" w:rsidRDefault="00B475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1653B"/>
    <w:multiLevelType w:val="multilevel"/>
    <w:tmpl w:val="8BFE27BE"/>
    <w:lvl w:ilvl="0">
      <w:start w:val="1"/>
      <w:numFmt w:val="decimal"/>
      <w:lvlText w:val="%1)"/>
      <w:lvlJc w:val="left"/>
      <w:pPr>
        <w:ind w:left="426" w:hanging="360"/>
      </w:pPr>
      <w:rPr>
        <w:color w:val="000000"/>
        <w:sz w:val="24"/>
      </w:r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1" w15:restartNumberingAfterBreak="0">
    <w:nsid w:val="07FA3D45"/>
    <w:multiLevelType w:val="multilevel"/>
    <w:tmpl w:val="8BBAF734"/>
    <w:lvl w:ilvl="0">
      <w:start w:val="1"/>
      <w:numFmt w:val="lowerLetter"/>
      <w:lvlText w:val="%1)"/>
      <w:lvlJc w:val="left"/>
      <w:pPr>
        <w:ind w:left="1352" w:hanging="360"/>
      </w:pPr>
      <w:rPr>
        <w:b/>
        <w:sz w:val="24"/>
      </w:rPr>
    </w:lvl>
    <w:lvl w:ilvl="1">
      <w:start w:val="1"/>
      <w:numFmt w:val="decimal"/>
      <w:lvlText w:val="%2."/>
      <w:lvlJc w:val="left"/>
      <w:pPr>
        <w:ind w:left="2693" w:hanging="360"/>
      </w:pPr>
    </w:lvl>
    <w:lvl w:ilvl="2">
      <w:start w:val="1"/>
      <w:numFmt w:val="lowerLetter"/>
      <w:lvlText w:val="%3)"/>
      <w:lvlJc w:val="right"/>
      <w:pPr>
        <w:ind w:left="2972" w:hanging="360"/>
      </w:pPr>
      <w:rPr>
        <w:rFonts w:eastAsia="Calibri" w:cs="Calibri"/>
        <w:sz w:val="24"/>
      </w:r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2" w15:restartNumberingAfterBreak="0">
    <w:nsid w:val="12B54FD1"/>
    <w:multiLevelType w:val="multilevel"/>
    <w:tmpl w:val="9C0C01B8"/>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5CA1870"/>
    <w:multiLevelType w:val="multilevel"/>
    <w:tmpl w:val="6292EB34"/>
    <w:lvl w:ilvl="0">
      <w:start w:val="1"/>
      <w:numFmt w:val="decimal"/>
      <w:lvlText w:val="%1."/>
      <w:lvlJc w:val="left"/>
      <w:pPr>
        <w:ind w:left="2628" w:hanging="360"/>
      </w:pPr>
    </w:lvl>
    <w:lvl w:ilvl="1">
      <w:start w:val="1"/>
      <w:numFmt w:val="lowerLetter"/>
      <w:lvlText w:val="%2."/>
      <w:lvlJc w:val="left"/>
      <w:pPr>
        <w:ind w:left="3348" w:hanging="360"/>
      </w:pPr>
    </w:lvl>
    <w:lvl w:ilvl="2">
      <w:start w:val="1"/>
      <w:numFmt w:val="lowerRoman"/>
      <w:lvlText w:val="%3."/>
      <w:lvlJc w:val="right"/>
      <w:pPr>
        <w:ind w:left="4068" w:hanging="180"/>
      </w:pPr>
    </w:lvl>
    <w:lvl w:ilvl="3">
      <w:start w:val="1"/>
      <w:numFmt w:val="decimal"/>
      <w:lvlText w:val="%4."/>
      <w:lvlJc w:val="left"/>
      <w:pPr>
        <w:ind w:left="4788" w:hanging="360"/>
      </w:pPr>
    </w:lvl>
    <w:lvl w:ilvl="4">
      <w:start w:val="1"/>
      <w:numFmt w:val="lowerLetter"/>
      <w:lvlText w:val="%5."/>
      <w:lvlJc w:val="left"/>
      <w:pPr>
        <w:ind w:left="5508" w:hanging="360"/>
      </w:pPr>
    </w:lvl>
    <w:lvl w:ilvl="5">
      <w:start w:val="1"/>
      <w:numFmt w:val="lowerRoman"/>
      <w:lvlText w:val="%6."/>
      <w:lvlJc w:val="right"/>
      <w:pPr>
        <w:ind w:left="6228" w:hanging="180"/>
      </w:pPr>
    </w:lvl>
    <w:lvl w:ilvl="6">
      <w:start w:val="1"/>
      <w:numFmt w:val="decimal"/>
      <w:lvlText w:val="%7."/>
      <w:lvlJc w:val="left"/>
      <w:pPr>
        <w:ind w:left="6948" w:hanging="360"/>
      </w:pPr>
    </w:lvl>
    <w:lvl w:ilvl="7">
      <w:start w:val="1"/>
      <w:numFmt w:val="lowerLetter"/>
      <w:lvlText w:val="%8."/>
      <w:lvlJc w:val="left"/>
      <w:pPr>
        <w:ind w:left="7668" w:hanging="360"/>
      </w:pPr>
    </w:lvl>
    <w:lvl w:ilvl="8">
      <w:start w:val="1"/>
      <w:numFmt w:val="lowerRoman"/>
      <w:lvlText w:val="%9."/>
      <w:lvlJc w:val="right"/>
      <w:pPr>
        <w:ind w:left="8388" w:hanging="180"/>
      </w:pPr>
    </w:lvl>
  </w:abstractNum>
  <w:abstractNum w:abstractNumId="4" w15:restartNumberingAfterBreak="0">
    <w:nsid w:val="27912ED1"/>
    <w:multiLevelType w:val="multilevel"/>
    <w:tmpl w:val="A4167D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4D2F01"/>
    <w:multiLevelType w:val="multilevel"/>
    <w:tmpl w:val="F970079A"/>
    <w:lvl w:ilvl="0">
      <w:start w:val="1"/>
      <w:numFmt w:val="decimal"/>
      <w:lvlText w:val="%1."/>
      <w:lvlJc w:val="left"/>
      <w:pPr>
        <w:ind w:left="720" w:hanging="360"/>
      </w:pPr>
      <w:rPr>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AF724D"/>
    <w:multiLevelType w:val="multilevel"/>
    <w:tmpl w:val="762CDD2A"/>
    <w:lvl w:ilvl="0">
      <w:start w:val="1"/>
      <w:numFmt w:val="lowerLetter"/>
      <w:lvlText w:val="%1)"/>
      <w:lvlJc w:val="left"/>
      <w:pPr>
        <w:ind w:left="720" w:hanging="360"/>
      </w:pPr>
    </w:lvl>
    <w:lvl w:ilvl="1">
      <w:start w:val="1"/>
      <w:numFmt w:val="lowerLetter"/>
      <w:lvlText w:val="%2)"/>
      <w:lvlJc w:val="left"/>
      <w:pPr>
        <w:ind w:left="1353" w:hanging="360"/>
      </w:pPr>
      <w:rPr>
        <w:b/>
        <w:sz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bullet"/>
      <w:lvlText w:val=""/>
      <w:lvlJc w:val="left"/>
      <w:pPr>
        <w:ind w:left="4500" w:hanging="360"/>
      </w:pPr>
      <w:rPr>
        <w:rFonts w:ascii="Symbol" w:hAnsi="Symbol" w:cs="Calibri"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C716CF"/>
    <w:multiLevelType w:val="multilevel"/>
    <w:tmpl w:val="7998427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76A14343"/>
    <w:multiLevelType w:val="multilevel"/>
    <w:tmpl w:val="52064624"/>
    <w:lvl w:ilvl="0">
      <w:start w:val="1"/>
      <w:numFmt w:val="decimal"/>
      <w:lvlText w:val="%1."/>
      <w:lvlJc w:val="left"/>
      <w:pPr>
        <w:ind w:left="360" w:hanging="360"/>
      </w:pPr>
      <w:rPr>
        <w:color w:val="00000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0"/>
  </w:num>
  <w:num w:numId="3">
    <w:abstractNumId w:val="2"/>
  </w:num>
  <w:num w:numId="4">
    <w:abstractNumId w:val="6"/>
  </w:num>
  <w:num w:numId="5">
    <w:abstractNumId w:val="1"/>
  </w:num>
  <w:num w:numId="6">
    <w:abstractNumId w:val="3"/>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FAD"/>
    <w:rsid w:val="000E0ACF"/>
    <w:rsid w:val="0039058E"/>
    <w:rsid w:val="004F2085"/>
    <w:rsid w:val="00720A35"/>
    <w:rsid w:val="00B4754A"/>
    <w:rsid w:val="00CB5FAD"/>
    <w:rsid w:val="00DA58FC"/>
  </w:rsids>
  <m:mathPr>
    <m:mathFont m:val="Cambria Math"/>
    <m:brkBin m:val="before"/>
    <m:brkBinSub m:val="--"/>
    <m:smallFrac m:val="0"/>
    <m:dispDef/>
    <m:lMargin m:val="0"/>
    <m:rMargin m:val="0"/>
    <m:defJc m:val="centerGroup"/>
    <m:wrapIndent m:val="1440"/>
    <m:intLim m:val="subSup"/>
    <m:naryLim m:val="undOvr"/>
  </m:mathPr>
  <w:themeFontLang w:val="it-IT"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35E979-F847-CD4A-A86C-3B2F2C44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idipaginaCarattere">
    <w:name w:val="Piè di pagina Carattere"/>
    <w:basedOn w:val="Carpredefinitoparagrafo"/>
    <w:link w:val="Pidipagina"/>
    <w:uiPriority w:val="99"/>
    <w:qFormat/>
    <w:rsid w:val="00D671AF"/>
  </w:style>
  <w:style w:type="character" w:styleId="Numeropagina">
    <w:name w:val="page number"/>
    <w:basedOn w:val="Carpredefinitoparagrafo"/>
    <w:uiPriority w:val="99"/>
    <w:semiHidden/>
    <w:unhideWhenUsed/>
    <w:qFormat/>
    <w:rsid w:val="00D671AF"/>
  </w:style>
  <w:style w:type="character" w:customStyle="1" w:styleId="m2216124863966076424spelle">
    <w:name w:val="m_2216124863966076424spelle"/>
    <w:basedOn w:val="Carpredefinitoparagrafo"/>
    <w:qFormat/>
    <w:rsid w:val="00692DB7"/>
  </w:style>
  <w:style w:type="character" w:customStyle="1" w:styleId="CollegamentoInternet">
    <w:name w:val="Collegamento Internet"/>
    <w:basedOn w:val="Carpredefinitoparagrafo"/>
    <w:uiPriority w:val="99"/>
    <w:unhideWhenUsed/>
    <w:rsid w:val="005142E1"/>
    <w:rPr>
      <w:color w:val="0563C1" w:themeColor="hyperlink"/>
      <w:u w:val="single"/>
    </w:rPr>
  </w:style>
  <w:style w:type="character" w:customStyle="1" w:styleId="UnresolvedMention">
    <w:name w:val="Unresolved Mention"/>
    <w:basedOn w:val="Carpredefinitoparagrafo"/>
    <w:uiPriority w:val="99"/>
    <w:semiHidden/>
    <w:unhideWhenUsed/>
    <w:qFormat/>
    <w:rsid w:val="005142E1"/>
    <w:rPr>
      <w:color w:val="605E5C"/>
      <w:shd w:val="clear" w:color="auto" w:fill="E1DFDD"/>
    </w:rPr>
  </w:style>
  <w:style w:type="character" w:styleId="Collegamentovisitato">
    <w:name w:val="FollowedHyperlink"/>
    <w:basedOn w:val="Carpredefinitoparagrafo"/>
    <w:uiPriority w:val="99"/>
    <w:semiHidden/>
    <w:unhideWhenUsed/>
    <w:qFormat/>
    <w:rsid w:val="005142E1"/>
    <w:rPr>
      <w:color w:val="954F72" w:themeColor="followedHyperlink"/>
      <w:u w:val="single"/>
    </w:rPr>
  </w:style>
  <w:style w:type="character" w:customStyle="1" w:styleId="ListLabel1">
    <w:name w:val="ListLabel 1"/>
    <w:qFormat/>
    <w:rPr>
      <w:b/>
      <w:i w:val="0"/>
      <w:sz w:val="24"/>
    </w:rPr>
  </w:style>
  <w:style w:type="character" w:customStyle="1" w:styleId="ListLabel2">
    <w:name w:val="ListLabel 2"/>
    <w:qFormat/>
    <w:rPr>
      <w:color w:val="000000"/>
      <w:sz w:val="24"/>
    </w:rPr>
  </w:style>
  <w:style w:type="character" w:customStyle="1" w:styleId="ListLabel3">
    <w:name w:val="ListLabel 3"/>
    <w:qFormat/>
    <w:rPr>
      <w:rFonts w:eastAsia="Times New Roman" w:cs="Calibri"/>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b/>
      <w:sz w:val="24"/>
    </w:rPr>
  </w:style>
  <w:style w:type="character" w:customStyle="1" w:styleId="ListLabel13">
    <w:name w:val="ListLabel 13"/>
    <w:qFormat/>
    <w:rPr>
      <w:rFonts w:eastAsia="Calibri" w:cs="Calibri"/>
    </w:rPr>
  </w:style>
  <w:style w:type="character" w:customStyle="1" w:styleId="ListLabel14">
    <w:name w:val="ListLabel 14"/>
    <w:qFormat/>
    <w:rPr>
      <w:b/>
      <w:sz w:val="24"/>
    </w:rPr>
  </w:style>
  <w:style w:type="character" w:customStyle="1" w:styleId="ListLabel15">
    <w:name w:val="ListLabel 15"/>
    <w:qFormat/>
    <w:rPr>
      <w:rFonts w:eastAsia="Calibri" w:cs="Calibri"/>
      <w:sz w:val="24"/>
    </w:rPr>
  </w:style>
  <w:style w:type="character" w:customStyle="1" w:styleId="ListLabel16">
    <w:name w:val="ListLabel 16"/>
    <w:qFormat/>
    <w:rPr>
      <w:color w:val="000000"/>
      <w:sz w:val="20"/>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88"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NormaleWeb">
    <w:name w:val="Normal (Web)"/>
    <w:basedOn w:val="Normale"/>
    <w:uiPriority w:val="99"/>
    <w:unhideWhenUsed/>
    <w:qFormat/>
    <w:rsid w:val="00AF77C2"/>
    <w:pPr>
      <w:spacing w:beforeAutospacing="1"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AF77C2"/>
    <w:pPr>
      <w:ind w:left="720"/>
      <w:contextualSpacing/>
    </w:pPr>
  </w:style>
  <w:style w:type="paragraph" w:styleId="Pidipagina">
    <w:name w:val="footer"/>
    <w:basedOn w:val="Normale"/>
    <w:link w:val="PidipaginaCarattere"/>
    <w:uiPriority w:val="99"/>
    <w:unhideWhenUsed/>
    <w:rsid w:val="00D671AF"/>
    <w:pPr>
      <w:tabs>
        <w:tab w:val="center" w:pos="4819"/>
        <w:tab w:val="right" w:pos="9638"/>
      </w:tabs>
      <w:spacing w:after="0" w:line="240" w:lineRule="auto"/>
    </w:pPr>
  </w:style>
  <w:style w:type="table" w:styleId="Grigliatabella">
    <w:name w:val="Table Grid"/>
    <w:basedOn w:val="Tabellanormale"/>
    <w:uiPriority w:val="39"/>
    <w:rsid w:val="008A4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youtu.be/E1O9zioixo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186/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les.covid19treatmentguidelines.nih.gov/guidelines/covid19treatmentguidelines.pdf" TargetMode="External"/><Relationship Id="rId5" Type="http://schemas.openxmlformats.org/officeDocument/2006/relationships/footnotes" Target="footnotes.xml"/><Relationship Id="rId15" Type="http://schemas.openxmlformats.org/officeDocument/2006/relationships/hyperlink" Target="https://web.archive.org/web/20061209204431/http:/www.adam.com.au/wedesign/xbx.zip" TargetMode="External"/><Relationship Id="rId10" Type="http://schemas.openxmlformats.org/officeDocument/2006/relationships/hyperlink" Target="https://coronavirus.jhu.edu/map.html" TargetMode="External"/><Relationship Id="rId4" Type="http://schemas.openxmlformats.org/officeDocument/2006/relationships/webSettings" Target="webSettings.xml"/><Relationship Id="rId9" Type="http://schemas.openxmlformats.org/officeDocument/2006/relationships/hyperlink" Target="https://www.epicentro.iss.it/coronavirus/bollettino/Bollettino-sorveglianza-integrata-COVID-19_27-ottobre-2020.pdf" TargetMode="External"/><Relationship Id="rId14" Type="http://schemas.openxmlformats.org/officeDocument/2006/relationships/hyperlink" Target="http://fit450.com/HTML/5BX_chart2.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2944</Words>
  <Characters>16785</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umberto de conto</dc:creator>
  <dc:description/>
  <cp:lastModifiedBy>Giuseppe</cp:lastModifiedBy>
  <cp:revision>2</cp:revision>
  <cp:lastPrinted>2020-11-13T20:45:00Z</cp:lastPrinted>
  <dcterms:created xsi:type="dcterms:W3CDTF">2020-12-22T11:34:00Z</dcterms:created>
  <dcterms:modified xsi:type="dcterms:W3CDTF">2020-12-22T11:34:00Z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