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E7" w:rsidRDefault="00F640E7" w:rsidP="00F640E7">
      <w:pPr>
        <w:pStyle w:val="Intestazione"/>
        <w:rPr>
          <w:rFonts w:ascii="Maiandra GD" w:hAnsi="Maiandra GD" w:cs="Arial"/>
          <w:b/>
          <w:color w:val="000080"/>
          <w:sz w:val="28"/>
          <w:szCs w:val="28"/>
          <w:u w:val="single"/>
        </w:rPr>
      </w:pPr>
      <w:bookmarkStart w:id="0" w:name="_GoBack"/>
      <w:bookmarkEnd w:id="0"/>
      <w:r w:rsidRPr="00636299">
        <w:rPr>
          <w:rFonts w:ascii="Maiandra GD" w:hAnsi="Maiandra GD" w:cs="Arial"/>
          <w:b/>
          <w:color w:val="000080"/>
          <w:sz w:val="28"/>
          <w:szCs w:val="28"/>
          <w:u w:val="single"/>
        </w:rPr>
        <w:t>PROGRAMMA DIDATTICO</w:t>
      </w:r>
      <w:r w:rsidR="0061517F">
        <w:rPr>
          <w:rFonts w:ascii="Maiandra GD" w:hAnsi="Maiandra GD" w:cs="Arial"/>
          <w:b/>
          <w:color w:val="000080"/>
          <w:sz w:val="28"/>
          <w:szCs w:val="28"/>
          <w:u w:val="single"/>
        </w:rPr>
        <w:t xml:space="preserve"> - MODULO BIOCHIMICA – PROF. DONADELLI</w:t>
      </w:r>
    </w:p>
    <w:p w:rsidR="00F640E7" w:rsidRDefault="00F640E7" w:rsidP="00F640E7">
      <w:pPr>
        <w:pStyle w:val="Intestazione"/>
        <w:rPr>
          <w:rFonts w:ascii="Maiandra GD" w:hAnsi="Maiandra GD" w:cs="Arial"/>
          <w:b/>
          <w:color w:val="000080"/>
          <w:sz w:val="28"/>
          <w:szCs w:val="28"/>
          <w:u w:val="single"/>
        </w:rPr>
      </w:pPr>
    </w:p>
    <w:p w:rsidR="00F640E7" w:rsidRDefault="00F640E7" w:rsidP="00F640E7">
      <w:pPr>
        <w:pStyle w:val="Intestazione"/>
        <w:rPr>
          <w:rFonts w:ascii="Maiandra GD" w:hAnsi="Maiandra GD" w:cs="Arial"/>
          <w:b/>
          <w:color w:val="000080"/>
          <w:sz w:val="28"/>
          <w:szCs w:val="28"/>
          <w:u w:val="single"/>
        </w:rPr>
      </w:pPr>
    </w:p>
    <w:p w:rsidR="00F640E7" w:rsidRPr="00F640E7" w:rsidRDefault="00F640E7" w:rsidP="00F640E7">
      <w:pPr>
        <w:spacing w:after="0" w:line="240" w:lineRule="auto"/>
        <w:ind w:right="428"/>
        <w:jc w:val="both"/>
        <w:rPr>
          <w:rFonts w:ascii="Maiandra GD" w:eastAsia="Arial Unicode MS" w:hAnsi="Maiandra GD" w:cs="Arial"/>
          <w:color w:val="000080"/>
          <w:lang w:eastAsia="it-IT"/>
        </w:rPr>
      </w:pPr>
      <w:r w:rsidRPr="00F640E7">
        <w:rPr>
          <w:rFonts w:ascii="Maiandra GD" w:eastAsia="Times New Roman" w:hAnsi="Maiandra GD" w:cs="Arial"/>
          <w:color w:val="000080"/>
          <w:lang w:eastAsia="it-IT"/>
        </w:rPr>
        <w:t xml:space="preserve">Obiettivi del corso (n° 3 righe max): 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854"/>
      </w:tblGrid>
      <w:tr w:rsidR="00F640E7" w:rsidRPr="00F640E7" w:rsidTr="001A353C">
        <w:tc>
          <w:tcPr>
            <w:tcW w:w="10112" w:type="dxa"/>
          </w:tcPr>
          <w:p w:rsidR="00F640E7" w:rsidRPr="00F640E7" w:rsidRDefault="00F640E7" w:rsidP="00F640E7">
            <w:pPr>
              <w:spacing w:after="0" w:line="240" w:lineRule="auto"/>
              <w:ind w:right="428"/>
              <w:jc w:val="both"/>
              <w:rPr>
                <w:rFonts w:ascii="Maiandra GD" w:eastAsia="Times New Roman" w:hAnsi="Maiandra GD" w:cs="Arial"/>
                <w:color w:val="000080"/>
                <w:lang w:eastAsia="it-IT"/>
              </w:rPr>
            </w:pPr>
          </w:p>
          <w:p w:rsidR="00F640E7" w:rsidRPr="00F640E7" w:rsidRDefault="00F640E7" w:rsidP="00F640E7">
            <w:pPr>
              <w:spacing w:after="0" w:line="240" w:lineRule="auto"/>
              <w:ind w:right="428"/>
              <w:jc w:val="both"/>
              <w:rPr>
                <w:rFonts w:ascii="Maiandra GD" w:eastAsia="Times New Roman" w:hAnsi="Maiandra GD" w:cs="Arial"/>
                <w:lang w:eastAsia="it-IT"/>
              </w:rPr>
            </w:pPr>
            <w:r w:rsidRPr="00F640E7">
              <w:rPr>
                <w:rFonts w:ascii="Maiandra GD" w:eastAsia="Times New Roman" w:hAnsi="Maiandra GD" w:cs="Arial"/>
                <w:lang w:eastAsia="it-IT"/>
              </w:rPr>
              <w:t>Conoscere i processi biomolecolari che stanno alla base delle funzioni della cellula e dell'organismo. Conoscere come avvengono e come sono regolate le trasformazioni biochimiche che costituiscono il metabolismo. Conoscere la bioenergetica, il metabolismo cellulare e dell’intero organismo.</w:t>
            </w:r>
          </w:p>
          <w:p w:rsidR="00F640E7" w:rsidRPr="00F640E7" w:rsidRDefault="00F640E7" w:rsidP="00F640E7">
            <w:pPr>
              <w:spacing w:after="0" w:line="240" w:lineRule="auto"/>
              <w:ind w:right="428"/>
              <w:jc w:val="both"/>
              <w:rPr>
                <w:rFonts w:ascii="Maiandra GD" w:eastAsia="Times New Roman" w:hAnsi="Maiandra GD" w:cs="Arial"/>
                <w:color w:val="000080"/>
                <w:lang w:eastAsia="it-IT"/>
              </w:rPr>
            </w:pPr>
          </w:p>
        </w:tc>
      </w:tr>
    </w:tbl>
    <w:p w:rsidR="00F640E7" w:rsidRPr="00F640E7" w:rsidRDefault="00F640E7" w:rsidP="00F640E7">
      <w:pPr>
        <w:spacing w:after="0" w:line="240" w:lineRule="auto"/>
        <w:jc w:val="both"/>
        <w:rPr>
          <w:rFonts w:ascii="Maiandra GD" w:eastAsia="Arial Unicode MS" w:hAnsi="Maiandra GD" w:cs="Arial"/>
          <w:color w:val="000080"/>
          <w:lang w:eastAsia="it-IT"/>
        </w:rPr>
      </w:pPr>
    </w:p>
    <w:p w:rsidR="00F640E7" w:rsidRPr="00F640E7" w:rsidRDefault="00F640E7" w:rsidP="00F640E7">
      <w:pPr>
        <w:spacing w:after="0" w:line="240" w:lineRule="auto"/>
        <w:rPr>
          <w:rFonts w:ascii="Maiandra GD" w:eastAsia="Times New Roman" w:hAnsi="Maiandra GD" w:cs="Arial"/>
          <w:color w:val="000080"/>
          <w:lang w:eastAsia="it-IT"/>
        </w:rPr>
      </w:pPr>
    </w:p>
    <w:p w:rsidR="00F640E7" w:rsidRPr="00F640E7" w:rsidRDefault="00F640E7" w:rsidP="00F640E7">
      <w:pPr>
        <w:spacing w:after="0" w:line="240" w:lineRule="auto"/>
        <w:rPr>
          <w:rFonts w:ascii="Maiandra GD" w:eastAsia="Times New Roman" w:hAnsi="Maiandra GD" w:cs="Arial"/>
          <w:color w:val="000080"/>
          <w:lang w:eastAsia="it-IT"/>
        </w:rPr>
      </w:pPr>
      <w:r w:rsidRPr="00F640E7">
        <w:rPr>
          <w:rFonts w:ascii="Maiandra GD" w:eastAsia="Times New Roman" w:hAnsi="Maiandra GD" w:cs="Arial"/>
          <w:color w:val="000080"/>
          <w:lang w:eastAsia="it-IT"/>
        </w:rPr>
        <w:t>Programma in forma sintetica (n° 4 righe max):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854"/>
      </w:tblGrid>
      <w:tr w:rsidR="00F640E7" w:rsidRPr="00F640E7" w:rsidTr="001A353C">
        <w:tc>
          <w:tcPr>
            <w:tcW w:w="10112" w:type="dxa"/>
          </w:tcPr>
          <w:p w:rsidR="00F640E7" w:rsidRPr="00F640E7" w:rsidRDefault="00F640E7" w:rsidP="00F640E7">
            <w:pPr>
              <w:spacing w:after="0" w:line="240" w:lineRule="auto"/>
              <w:ind w:right="428"/>
              <w:jc w:val="both"/>
              <w:rPr>
                <w:rFonts w:ascii="Maiandra GD" w:eastAsia="Times New Roman" w:hAnsi="Maiandra GD" w:cs="Arial"/>
                <w:color w:val="000080"/>
                <w:lang w:eastAsia="it-IT"/>
              </w:rPr>
            </w:pPr>
          </w:p>
          <w:p w:rsidR="00F640E7" w:rsidRPr="00F640E7" w:rsidRDefault="00F640E7" w:rsidP="00F640E7">
            <w:pPr>
              <w:spacing w:after="0" w:line="240" w:lineRule="auto"/>
              <w:ind w:right="428"/>
              <w:jc w:val="both"/>
              <w:rPr>
                <w:rFonts w:ascii="Maiandra GD" w:eastAsia="Times New Roman" w:hAnsi="Maiandra GD" w:cs="Arial"/>
                <w:lang w:eastAsia="it-IT"/>
              </w:rPr>
            </w:pPr>
            <w:r w:rsidRPr="00F640E7">
              <w:rPr>
                <w:rFonts w:ascii="Maiandra GD" w:eastAsia="Times New Roman" w:hAnsi="Maiandra GD" w:cs="Arial"/>
                <w:lang w:eastAsia="it-IT"/>
              </w:rPr>
              <w:t>Struttura e funzioni di carboidrati, glicosamminoglicani, proteoglicani, glicoproteine. Amminoacidi e proteine. Enzimi e catalisi enzimatica. Lipidi e loro funzioni. Introduzione al metabolismo. Metabolismo dei carboidrati. Ciclo di Krebs e gluconeogenesi. Metabolismo del glicogeno. Fosforilazione ossidativa e catena respiratoria mitocondriale. Metabolismo dei lipidi. Metabolismo degli amminoacidi e ciclo dell’urea.</w:t>
            </w:r>
          </w:p>
          <w:p w:rsidR="00F640E7" w:rsidRPr="00F640E7" w:rsidRDefault="00F640E7" w:rsidP="00F640E7">
            <w:pPr>
              <w:spacing w:after="0" w:line="240" w:lineRule="auto"/>
              <w:jc w:val="both"/>
              <w:rPr>
                <w:rFonts w:ascii="Maiandra GD" w:eastAsia="Arial Unicode MS" w:hAnsi="Maiandra GD" w:cs="Arial"/>
                <w:color w:val="000080"/>
                <w:lang w:eastAsia="it-IT"/>
              </w:rPr>
            </w:pPr>
          </w:p>
        </w:tc>
      </w:tr>
    </w:tbl>
    <w:p w:rsidR="00F640E7" w:rsidRPr="00F640E7" w:rsidRDefault="00F640E7" w:rsidP="00F640E7">
      <w:pPr>
        <w:spacing w:after="0" w:line="240" w:lineRule="auto"/>
        <w:rPr>
          <w:rFonts w:ascii="Maiandra GD" w:eastAsia="Times New Roman" w:hAnsi="Maiandra GD" w:cs="Arial"/>
          <w:color w:val="000080"/>
          <w:lang w:eastAsia="it-IT"/>
        </w:rPr>
      </w:pPr>
    </w:p>
    <w:p w:rsidR="00F640E7" w:rsidRPr="00F640E7" w:rsidRDefault="00F640E7" w:rsidP="00F640E7">
      <w:pPr>
        <w:spacing w:after="0" w:line="240" w:lineRule="auto"/>
        <w:ind w:left="360"/>
        <w:rPr>
          <w:rFonts w:ascii="Maiandra GD" w:eastAsia="Times New Roman" w:hAnsi="Maiandra GD" w:cs="Arial"/>
          <w:color w:val="000080"/>
          <w:lang w:eastAsia="it-IT"/>
        </w:rPr>
      </w:pPr>
    </w:p>
    <w:p w:rsidR="00F640E7" w:rsidRPr="00F640E7" w:rsidRDefault="00F640E7" w:rsidP="00F640E7">
      <w:pPr>
        <w:spacing w:after="0" w:line="240" w:lineRule="auto"/>
        <w:rPr>
          <w:rFonts w:ascii="Maiandra GD" w:eastAsia="Times New Roman" w:hAnsi="Maiandra GD" w:cs="Arial"/>
          <w:color w:val="000080"/>
          <w:lang w:eastAsia="it-IT"/>
        </w:rPr>
      </w:pPr>
      <w:r w:rsidRPr="00F640E7">
        <w:rPr>
          <w:rFonts w:ascii="Maiandra GD" w:eastAsia="Times New Roman" w:hAnsi="Maiandra GD" w:cs="Arial"/>
          <w:color w:val="000080"/>
          <w:lang w:eastAsia="it-IT"/>
        </w:rPr>
        <w:t>Programma in forma estesa: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54"/>
      </w:tblGrid>
      <w:tr w:rsidR="00F640E7" w:rsidRPr="00F640E7" w:rsidTr="001A353C">
        <w:tc>
          <w:tcPr>
            <w:tcW w:w="10112" w:type="dxa"/>
          </w:tcPr>
          <w:p w:rsidR="00F640E7" w:rsidRPr="00F640E7" w:rsidRDefault="00F640E7" w:rsidP="00F640E7">
            <w:pPr>
              <w:spacing w:after="0" w:line="240" w:lineRule="auto"/>
              <w:rPr>
                <w:rFonts w:ascii="Maiandra GD" w:eastAsia="Times New Roman" w:hAnsi="Maiandra GD" w:cs="Arial"/>
                <w:color w:val="000080"/>
                <w:lang w:eastAsia="it-IT"/>
              </w:rPr>
            </w:pPr>
          </w:p>
          <w:p w:rsidR="00F640E7" w:rsidRPr="00F640E7" w:rsidRDefault="00F640E7" w:rsidP="00F640E7">
            <w:pPr>
              <w:spacing w:after="0" w:line="240" w:lineRule="auto"/>
              <w:ind w:left="227" w:hanging="227"/>
              <w:jc w:val="both"/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</w:pP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 xml:space="preserve">- </w:t>
            </w:r>
            <w:r w:rsidRPr="00F640E7">
              <w:rPr>
                <w:rFonts w:ascii="Century Gothic" w:eastAsia="Times New Roman" w:hAnsi="Century Gothic" w:cs="Tahoma"/>
                <w:b/>
                <w:smallCaps/>
                <w:color w:val="000000"/>
                <w:sz w:val="24"/>
                <w:szCs w:val="24"/>
                <w:lang w:eastAsia="it-IT"/>
              </w:rPr>
              <w:t>Carboidrati</w:t>
            </w: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>: monosaccaridi, disaccaridi, polisaccaridi, aldosi e chetosi, glicogeno, amido, cellulosa, glicosamminoglicani, proteoglicani e glicoproteine.</w:t>
            </w:r>
          </w:p>
          <w:p w:rsidR="00F640E7" w:rsidRPr="00F640E7" w:rsidRDefault="00F640E7" w:rsidP="00F640E7">
            <w:pPr>
              <w:spacing w:after="0" w:line="240" w:lineRule="auto"/>
              <w:ind w:left="227" w:hanging="227"/>
              <w:jc w:val="both"/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</w:pP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 xml:space="preserve">- </w:t>
            </w:r>
            <w:r w:rsidRPr="00F640E7">
              <w:rPr>
                <w:rFonts w:ascii="Century Gothic" w:eastAsia="Times New Roman" w:hAnsi="Century Gothic" w:cs="Tahoma"/>
                <w:b/>
                <w:smallCaps/>
                <w:color w:val="000000"/>
                <w:sz w:val="24"/>
                <w:szCs w:val="24"/>
                <w:lang w:eastAsia="it-IT"/>
              </w:rPr>
              <w:t>Proteine</w:t>
            </w: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>: amminoacidi, livelli di struttura delle proteine, legame peptidico, alfa-elica, foglietto-beta, proteine globulari, mioglobina ed emoglobina, regolazione allosterica.</w:t>
            </w:r>
          </w:p>
          <w:p w:rsidR="00F640E7" w:rsidRPr="00F640E7" w:rsidRDefault="00F640E7" w:rsidP="00F640E7">
            <w:pPr>
              <w:spacing w:after="0" w:line="240" w:lineRule="auto"/>
              <w:ind w:left="227" w:hanging="227"/>
              <w:jc w:val="both"/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</w:pP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 xml:space="preserve">-  </w:t>
            </w:r>
            <w:r w:rsidRPr="00F640E7">
              <w:rPr>
                <w:rFonts w:ascii="Century Gothic" w:eastAsia="Times New Roman" w:hAnsi="Century Gothic" w:cs="Tahoma"/>
                <w:b/>
                <w:smallCaps/>
                <w:color w:val="000000"/>
                <w:sz w:val="24"/>
                <w:szCs w:val="24"/>
                <w:lang w:eastAsia="it-IT"/>
              </w:rPr>
              <w:t>Enzimi</w:t>
            </w: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>: classificazione degli enzimi, sito attivo, specificità ed isoenzimi, cofattori e coenzimi, vitamine, regolazione dell'attività enzimatica, enzimi allosterici.</w:t>
            </w:r>
          </w:p>
          <w:p w:rsidR="00F640E7" w:rsidRPr="00F640E7" w:rsidRDefault="00F640E7" w:rsidP="00F640E7">
            <w:pPr>
              <w:spacing w:after="0" w:line="240" w:lineRule="auto"/>
              <w:ind w:left="227" w:hanging="227"/>
              <w:jc w:val="both"/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</w:pP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 xml:space="preserve">- </w:t>
            </w:r>
            <w:r w:rsidRPr="00F640E7">
              <w:rPr>
                <w:rFonts w:ascii="Century Gothic" w:eastAsia="Times New Roman" w:hAnsi="Century Gothic" w:cs="Tahoma"/>
                <w:b/>
                <w:smallCaps/>
                <w:color w:val="000000"/>
                <w:sz w:val="24"/>
                <w:szCs w:val="24"/>
                <w:lang w:eastAsia="it-IT"/>
              </w:rPr>
              <w:t>Lipidi</w:t>
            </w: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>: lipidi e loro funzioni, acidi grassi ed acilgliceroli, fosfolipidi, terpeni, steroidi, colesterolo, vitamine liposolubili, eicosanoidi, lipoproteine.</w:t>
            </w:r>
          </w:p>
          <w:p w:rsidR="00F640E7" w:rsidRPr="00F640E7" w:rsidRDefault="00F640E7" w:rsidP="00F640E7">
            <w:pPr>
              <w:spacing w:after="0" w:line="240" w:lineRule="auto"/>
              <w:ind w:left="227" w:hanging="227"/>
              <w:jc w:val="both"/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</w:pP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 xml:space="preserve">- </w:t>
            </w:r>
            <w:r w:rsidRPr="00F640E7">
              <w:rPr>
                <w:rFonts w:ascii="Century Gothic" w:eastAsia="Times New Roman" w:hAnsi="Century Gothic" w:cs="Tahoma"/>
                <w:b/>
                <w:smallCaps/>
                <w:color w:val="000000"/>
                <w:sz w:val="24"/>
                <w:szCs w:val="24"/>
                <w:lang w:eastAsia="it-IT"/>
              </w:rPr>
              <w:t>Introduzione al metabolismo</w:t>
            </w: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>: catabolismo ed anabolismo, ATP e fosfocreatina, coenzimi ossidoriduttivi (NAD e FAD), reazioni redox, vie metaboliche, intermedi metabolici, regolazione del metabolismo, reazioni accoppiate, cenni di difetti genetici del metabolismo.</w:t>
            </w:r>
          </w:p>
          <w:p w:rsidR="00F640E7" w:rsidRPr="00F640E7" w:rsidRDefault="00F640E7" w:rsidP="00F640E7">
            <w:pPr>
              <w:spacing w:after="0" w:line="240" w:lineRule="auto"/>
              <w:ind w:left="227" w:hanging="227"/>
              <w:jc w:val="both"/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</w:pP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 xml:space="preserve">- </w:t>
            </w:r>
            <w:r w:rsidRPr="00F640E7">
              <w:rPr>
                <w:rFonts w:ascii="Century Gothic" w:eastAsia="Times New Roman" w:hAnsi="Century Gothic" w:cs="Tahoma"/>
                <w:b/>
                <w:smallCaps/>
                <w:color w:val="000000"/>
                <w:sz w:val="24"/>
                <w:szCs w:val="24"/>
                <w:lang w:eastAsia="it-IT"/>
              </w:rPr>
              <w:t>Metabolismo dei carboidrati</w:t>
            </w: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>: glicolisi e sua regolazione, via del pentoso fosfato, fermentazione alcolica e lattica, sintesi di acetil-coenzima A, decarbossilazione ossidativa del piruvato, ciclo di Krebs e sua regolazione, gluconeogenesi e sua regolazione, ciclo di Cori, glicogenolisi e glicogenosintesi, regolazione ormonale (glucagone, insulina ed adrenalina), il diabete mellito.</w:t>
            </w:r>
          </w:p>
          <w:p w:rsidR="00F640E7" w:rsidRPr="00F640E7" w:rsidRDefault="00F640E7" w:rsidP="00F640E7">
            <w:pPr>
              <w:spacing w:after="0" w:line="240" w:lineRule="auto"/>
              <w:ind w:left="227" w:hanging="227"/>
              <w:jc w:val="both"/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</w:pP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 xml:space="preserve">- </w:t>
            </w:r>
            <w:r w:rsidRPr="00F640E7">
              <w:rPr>
                <w:rFonts w:ascii="Century Gothic" w:eastAsia="Times New Roman" w:hAnsi="Century Gothic" w:cs="Tahoma"/>
                <w:b/>
                <w:smallCaps/>
                <w:color w:val="000000"/>
                <w:sz w:val="24"/>
                <w:szCs w:val="24"/>
                <w:lang w:eastAsia="it-IT"/>
              </w:rPr>
              <w:t>Fosforilazione ossidativa</w:t>
            </w: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>: catena respiratoria mitocondriale, potenziale standard di riduzione, trasporto degli elettroni e pompe protoniche, ATP sintasi mitocondriale.</w:t>
            </w:r>
          </w:p>
          <w:p w:rsidR="00F640E7" w:rsidRPr="00F640E7" w:rsidRDefault="00F640E7" w:rsidP="00F640E7">
            <w:pPr>
              <w:spacing w:after="0" w:line="240" w:lineRule="auto"/>
              <w:ind w:left="227" w:hanging="227"/>
              <w:jc w:val="both"/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</w:pP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 xml:space="preserve">-  </w:t>
            </w:r>
            <w:r w:rsidRPr="00F640E7">
              <w:rPr>
                <w:rFonts w:ascii="Century Gothic" w:eastAsia="Times New Roman" w:hAnsi="Century Gothic" w:cs="Tahoma"/>
                <w:b/>
                <w:smallCaps/>
                <w:color w:val="000000"/>
                <w:sz w:val="24"/>
                <w:szCs w:val="24"/>
                <w:lang w:eastAsia="it-IT"/>
              </w:rPr>
              <w:t>Metabolismo dei lipidi</w:t>
            </w: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>: beta-ossidazione degli acidi grassi, corpi chetonici, biosintesi dei lipidi, acido-grasso sintasi, metabolismo del colesterolo.</w:t>
            </w:r>
          </w:p>
          <w:p w:rsidR="00F640E7" w:rsidRPr="00F640E7" w:rsidRDefault="00F640E7" w:rsidP="00F640E7">
            <w:pPr>
              <w:spacing w:after="0" w:line="240" w:lineRule="auto"/>
              <w:ind w:left="227" w:hanging="227"/>
              <w:jc w:val="both"/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</w:pP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 xml:space="preserve">- </w:t>
            </w:r>
            <w:r w:rsidRPr="00F640E7">
              <w:rPr>
                <w:rFonts w:ascii="Century Gothic" w:eastAsia="Times New Roman" w:hAnsi="Century Gothic" w:cs="Tahoma"/>
                <w:b/>
                <w:smallCaps/>
                <w:color w:val="000000"/>
                <w:sz w:val="24"/>
                <w:szCs w:val="24"/>
                <w:lang w:eastAsia="it-IT"/>
              </w:rPr>
              <w:t>Metabolismo delle proteine e degli amminoacidi</w:t>
            </w:r>
            <w:r w:rsidRPr="00F640E7">
              <w:rPr>
                <w:rFonts w:ascii="Century Gothic" w:eastAsia="Times New Roman" w:hAnsi="Century Gothic" w:cs="Tahoma"/>
                <w:smallCaps/>
                <w:color w:val="000000"/>
                <w:sz w:val="24"/>
                <w:szCs w:val="24"/>
                <w:lang w:eastAsia="it-IT"/>
              </w:rPr>
              <w:t xml:space="preserve">: transaminazione, ciclo glucosio-alanina, ciclo dell'urea, biosintesi degli amminoacidi, amminoacidi ramificati.  </w:t>
            </w:r>
          </w:p>
          <w:p w:rsidR="00F640E7" w:rsidRPr="00F640E7" w:rsidRDefault="00F640E7" w:rsidP="00F640E7">
            <w:pPr>
              <w:spacing w:after="0" w:line="240" w:lineRule="auto"/>
              <w:rPr>
                <w:rFonts w:ascii="Maiandra GD" w:eastAsia="Times New Roman" w:hAnsi="Maiandra GD" w:cs="Arial"/>
                <w:color w:val="000080"/>
                <w:lang w:eastAsia="it-IT"/>
              </w:rPr>
            </w:pPr>
          </w:p>
        </w:tc>
      </w:tr>
    </w:tbl>
    <w:p w:rsidR="00F640E7" w:rsidRPr="00F640E7" w:rsidRDefault="00F640E7" w:rsidP="00F640E7">
      <w:pPr>
        <w:spacing w:after="0" w:line="240" w:lineRule="auto"/>
        <w:rPr>
          <w:rFonts w:ascii="Maiandra GD" w:eastAsia="Times New Roman" w:hAnsi="Maiandra GD" w:cs="Arial"/>
          <w:color w:val="000080"/>
          <w:lang w:eastAsia="it-IT"/>
        </w:rPr>
      </w:pPr>
    </w:p>
    <w:p w:rsidR="00F640E7" w:rsidRPr="00F640E7" w:rsidRDefault="00F640E7" w:rsidP="00F640E7">
      <w:pPr>
        <w:spacing w:after="0" w:line="240" w:lineRule="auto"/>
        <w:rPr>
          <w:rFonts w:ascii="Maiandra GD" w:eastAsia="Times New Roman" w:hAnsi="Maiandra GD" w:cs="Arial"/>
          <w:color w:val="000080"/>
          <w:lang w:eastAsia="it-IT"/>
        </w:rPr>
      </w:pPr>
    </w:p>
    <w:p w:rsidR="00F640E7" w:rsidRPr="00F640E7" w:rsidRDefault="00F640E7" w:rsidP="00F640E7">
      <w:pPr>
        <w:spacing w:after="0" w:line="240" w:lineRule="auto"/>
        <w:ind w:right="428"/>
        <w:jc w:val="both"/>
        <w:rPr>
          <w:rFonts w:ascii="Maiandra GD" w:eastAsia="Times New Roman" w:hAnsi="Maiandra GD" w:cs="Arial"/>
          <w:color w:val="000080"/>
          <w:lang w:eastAsia="it-IT"/>
        </w:rPr>
      </w:pPr>
    </w:p>
    <w:p w:rsidR="00F640E7" w:rsidRPr="00F640E7" w:rsidRDefault="00F640E7" w:rsidP="00F640E7">
      <w:pPr>
        <w:spacing w:after="0" w:line="240" w:lineRule="auto"/>
        <w:ind w:right="428"/>
        <w:jc w:val="both"/>
        <w:rPr>
          <w:rFonts w:ascii="Maiandra GD" w:eastAsia="Times New Roman" w:hAnsi="Maiandra GD" w:cs="Arial"/>
          <w:color w:val="000080"/>
          <w:lang w:eastAsia="it-IT"/>
        </w:rPr>
      </w:pPr>
      <w:r w:rsidRPr="00F640E7">
        <w:rPr>
          <w:rFonts w:ascii="Maiandra GD" w:eastAsia="Times New Roman" w:hAnsi="Maiandra GD" w:cs="Arial"/>
          <w:color w:val="000080"/>
          <w:lang w:eastAsia="it-IT"/>
        </w:rPr>
        <w:t>Modalità d’esame: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9854"/>
      </w:tblGrid>
      <w:tr w:rsidR="00F640E7" w:rsidRPr="00F640E7" w:rsidTr="001A353C">
        <w:tc>
          <w:tcPr>
            <w:tcW w:w="10112" w:type="dxa"/>
          </w:tcPr>
          <w:p w:rsidR="00F640E7" w:rsidRPr="00F640E7" w:rsidRDefault="00F640E7" w:rsidP="00F640E7">
            <w:pPr>
              <w:spacing w:after="0" w:line="240" w:lineRule="auto"/>
              <w:ind w:right="428"/>
              <w:jc w:val="both"/>
              <w:rPr>
                <w:rFonts w:ascii="Maiandra GD" w:eastAsia="Times New Roman" w:hAnsi="Maiandra GD" w:cs="Arial"/>
                <w:color w:val="000080"/>
                <w:lang w:eastAsia="it-IT"/>
              </w:rPr>
            </w:pPr>
          </w:p>
          <w:p w:rsidR="00F640E7" w:rsidRPr="00F640E7" w:rsidRDefault="00F640E7" w:rsidP="00F640E7">
            <w:pPr>
              <w:spacing w:after="0" w:line="240" w:lineRule="auto"/>
              <w:ind w:right="428"/>
              <w:jc w:val="both"/>
              <w:rPr>
                <w:rFonts w:ascii="Maiandra GD" w:eastAsia="Times New Roman" w:hAnsi="Maiandra GD" w:cs="Arial"/>
                <w:lang w:eastAsia="it-IT"/>
              </w:rPr>
            </w:pPr>
            <w:r w:rsidRPr="00F640E7">
              <w:rPr>
                <w:rFonts w:ascii="Maiandra GD" w:eastAsia="Times New Roman" w:hAnsi="Maiandra GD" w:cs="Arial"/>
                <w:lang w:eastAsia="it-IT"/>
              </w:rPr>
              <w:t>Test con domande a risposte multiple e colloquio orale.</w:t>
            </w:r>
          </w:p>
          <w:p w:rsidR="00F640E7" w:rsidRPr="00F640E7" w:rsidRDefault="00F640E7" w:rsidP="00F640E7">
            <w:pPr>
              <w:spacing w:after="0" w:line="240" w:lineRule="auto"/>
              <w:ind w:right="428"/>
              <w:jc w:val="both"/>
              <w:rPr>
                <w:rFonts w:ascii="Maiandra GD" w:eastAsia="Times New Roman" w:hAnsi="Maiandra GD" w:cs="Arial"/>
                <w:color w:val="000080"/>
                <w:lang w:eastAsia="it-IT"/>
              </w:rPr>
            </w:pPr>
          </w:p>
        </w:tc>
      </w:tr>
    </w:tbl>
    <w:p w:rsidR="00F640E7" w:rsidRPr="00F640E7" w:rsidRDefault="00F640E7" w:rsidP="00F640E7">
      <w:pPr>
        <w:spacing w:after="0" w:line="240" w:lineRule="auto"/>
        <w:ind w:right="12"/>
        <w:jc w:val="both"/>
        <w:rPr>
          <w:rFonts w:ascii="Maiandra GD" w:eastAsia="Times New Roman" w:hAnsi="Maiandra GD" w:cs="Arial"/>
          <w:b/>
          <w:color w:val="000080"/>
          <w:sz w:val="18"/>
          <w:szCs w:val="18"/>
          <w:lang w:eastAsia="it-IT"/>
        </w:rPr>
      </w:pPr>
      <w:r w:rsidRPr="00F640E7">
        <w:rPr>
          <w:rFonts w:ascii="Maiandra GD" w:eastAsia="Times New Roman" w:hAnsi="Maiandra GD" w:cs="Arial"/>
          <w:b/>
          <w:color w:val="000080"/>
          <w:sz w:val="18"/>
          <w:szCs w:val="18"/>
          <w:lang w:eastAsia="it-IT"/>
        </w:rPr>
        <w:t>NB. Si ricorda che:</w:t>
      </w:r>
    </w:p>
    <w:p w:rsidR="00F640E7" w:rsidRPr="00F640E7" w:rsidRDefault="00F640E7" w:rsidP="00F640E7">
      <w:pPr>
        <w:spacing w:after="0" w:line="240" w:lineRule="auto"/>
        <w:ind w:right="12"/>
        <w:jc w:val="both"/>
        <w:rPr>
          <w:rFonts w:ascii="Maiandra GD" w:eastAsia="Times New Roman" w:hAnsi="Maiandra GD" w:cs="Arial"/>
          <w:b/>
          <w:color w:val="000080"/>
          <w:sz w:val="18"/>
          <w:szCs w:val="18"/>
          <w:lang w:eastAsia="it-IT"/>
        </w:rPr>
      </w:pPr>
      <w:r w:rsidRPr="00F640E7">
        <w:rPr>
          <w:rFonts w:ascii="Maiandra GD" w:eastAsia="Times New Roman" w:hAnsi="Maiandra GD" w:cs="Arial"/>
          <w:b/>
          <w:color w:val="000080"/>
          <w:sz w:val="18"/>
          <w:szCs w:val="18"/>
          <w:lang w:eastAsia="it-IT"/>
        </w:rPr>
        <w:t>1.   Le modalità d’esame devono essere concordate con i colleghi del medesimo corso integrato, in modo da risultare omogenee, oltre che contestuali, per tutti i moduli che costituiscono un corso integrato.</w:t>
      </w:r>
    </w:p>
    <w:p w:rsidR="00F640E7" w:rsidRPr="00F640E7" w:rsidRDefault="00F640E7" w:rsidP="00F640E7">
      <w:pPr>
        <w:spacing w:after="0" w:line="240" w:lineRule="auto"/>
        <w:ind w:right="12"/>
        <w:jc w:val="both"/>
        <w:rPr>
          <w:rFonts w:ascii="Maiandra GD" w:eastAsia="Times New Roman" w:hAnsi="Maiandra GD" w:cs="Arial"/>
          <w:b/>
          <w:color w:val="000080"/>
          <w:sz w:val="18"/>
          <w:szCs w:val="18"/>
          <w:lang w:eastAsia="it-IT"/>
        </w:rPr>
      </w:pPr>
      <w:r w:rsidRPr="00F640E7">
        <w:rPr>
          <w:rFonts w:ascii="Maiandra GD" w:eastAsia="Times New Roman" w:hAnsi="Maiandra GD" w:cs="Arial"/>
          <w:b/>
          <w:color w:val="000080"/>
          <w:sz w:val="18"/>
          <w:szCs w:val="18"/>
          <w:lang w:eastAsia="it-IT"/>
        </w:rPr>
        <w:t>2.   Le modalità d’esame sono le seguenti:   a)  esame orale    b) esame scritto + colloquio orale  (preferibilmente non solo esame scritto).</w:t>
      </w:r>
    </w:p>
    <w:p w:rsidR="00F640E7" w:rsidRPr="00F640E7" w:rsidRDefault="00F640E7" w:rsidP="00F640E7">
      <w:pPr>
        <w:spacing w:after="0" w:line="240" w:lineRule="auto"/>
        <w:ind w:right="428"/>
        <w:jc w:val="both"/>
        <w:rPr>
          <w:rFonts w:ascii="Maiandra GD" w:eastAsia="Times New Roman" w:hAnsi="Maiandra GD" w:cs="Arial"/>
          <w:color w:val="000080"/>
          <w:lang w:eastAsia="it-IT"/>
        </w:rPr>
      </w:pPr>
    </w:p>
    <w:p w:rsidR="00F640E7" w:rsidRPr="00F640E7" w:rsidRDefault="00F640E7" w:rsidP="00F640E7">
      <w:pPr>
        <w:widowControl w:val="0"/>
        <w:spacing w:after="0" w:line="240" w:lineRule="auto"/>
        <w:rPr>
          <w:rFonts w:ascii="Maiandra GD" w:eastAsia="Times New Roman" w:hAnsi="Maiandra GD" w:cs="Arial"/>
          <w:color w:val="000080"/>
          <w:lang w:eastAsia="it-IT"/>
        </w:rPr>
      </w:pPr>
      <w:r w:rsidRPr="00F640E7">
        <w:rPr>
          <w:rFonts w:ascii="Maiandra GD" w:eastAsia="Times New Roman" w:hAnsi="Maiandra GD" w:cs="Arial"/>
          <w:color w:val="000080"/>
          <w:lang w:eastAsia="it-IT"/>
        </w:rPr>
        <w:t xml:space="preserve">Testi consigliati: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54"/>
      </w:tblGrid>
      <w:tr w:rsidR="00F640E7" w:rsidRPr="00F640E7" w:rsidTr="001A353C">
        <w:tc>
          <w:tcPr>
            <w:tcW w:w="10112" w:type="dxa"/>
          </w:tcPr>
          <w:p w:rsidR="00F640E7" w:rsidRPr="00F640E7" w:rsidRDefault="00F640E7" w:rsidP="00F640E7">
            <w:pPr>
              <w:widowControl w:val="0"/>
              <w:spacing w:after="0" w:line="240" w:lineRule="auto"/>
              <w:rPr>
                <w:rFonts w:ascii="Maiandra GD" w:eastAsia="Times New Roman" w:hAnsi="Maiandra GD" w:cs="Arial"/>
                <w:color w:val="000080"/>
                <w:lang w:eastAsia="it-IT"/>
              </w:rPr>
            </w:pPr>
          </w:p>
          <w:p w:rsidR="00F640E7" w:rsidRPr="00F640E7" w:rsidRDefault="00F640E7" w:rsidP="00F640E7">
            <w:pPr>
              <w:widowControl w:val="0"/>
              <w:spacing w:after="0" w:line="240" w:lineRule="auto"/>
              <w:rPr>
                <w:rFonts w:ascii="Maiandra GD" w:eastAsia="Times New Roman" w:hAnsi="Maiandra GD" w:cs="Arial"/>
                <w:lang w:eastAsia="it-IT"/>
              </w:rPr>
            </w:pPr>
            <w:r w:rsidRPr="00F640E7">
              <w:rPr>
                <w:rFonts w:ascii="Maiandra GD" w:eastAsia="Times New Roman" w:hAnsi="Maiandra GD" w:cs="Arial"/>
                <w:lang w:eastAsia="it-IT"/>
              </w:rPr>
              <w:t xml:space="preserve">“Introduzione alla biochimica di Lehninger”. D. L. Nelson, M. M. Cox (Zanichelli). </w:t>
            </w:r>
          </w:p>
          <w:p w:rsidR="00F640E7" w:rsidRPr="00F640E7" w:rsidRDefault="00F640E7" w:rsidP="00F640E7">
            <w:pPr>
              <w:widowControl w:val="0"/>
              <w:spacing w:after="0" w:line="240" w:lineRule="auto"/>
              <w:rPr>
                <w:rFonts w:ascii="Maiandra GD" w:eastAsia="Times New Roman" w:hAnsi="Maiandra GD" w:cs="Arial"/>
                <w:lang w:eastAsia="it-IT"/>
              </w:rPr>
            </w:pPr>
          </w:p>
          <w:p w:rsidR="00F640E7" w:rsidRPr="00F640E7" w:rsidRDefault="00F640E7" w:rsidP="00F640E7">
            <w:pPr>
              <w:widowControl w:val="0"/>
              <w:spacing w:after="0" w:line="240" w:lineRule="auto"/>
              <w:rPr>
                <w:rFonts w:ascii="Maiandra GD" w:eastAsia="Times New Roman" w:hAnsi="Maiandra GD" w:cs="Arial"/>
                <w:lang w:eastAsia="it-IT"/>
              </w:rPr>
            </w:pPr>
            <w:r w:rsidRPr="00F640E7">
              <w:rPr>
                <w:rFonts w:ascii="Maiandra GD" w:eastAsia="Times New Roman" w:hAnsi="Maiandra GD" w:cs="Arial"/>
                <w:lang w:eastAsia="it-IT"/>
              </w:rPr>
              <w:t>“Chimica e Biochimica”. M. Samaja, R. Paroni (Piccin).</w:t>
            </w:r>
          </w:p>
          <w:p w:rsidR="00F640E7" w:rsidRPr="00F640E7" w:rsidRDefault="00F640E7" w:rsidP="00F640E7">
            <w:pPr>
              <w:widowControl w:val="0"/>
              <w:spacing w:after="0" w:line="240" w:lineRule="auto"/>
              <w:rPr>
                <w:rFonts w:ascii="Maiandra GD" w:eastAsia="Times New Roman" w:hAnsi="Maiandra GD" w:cs="Arial"/>
                <w:color w:val="000080"/>
                <w:lang w:eastAsia="it-IT"/>
              </w:rPr>
            </w:pPr>
          </w:p>
        </w:tc>
      </w:tr>
    </w:tbl>
    <w:p w:rsidR="00F640E7" w:rsidRPr="00F640E7" w:rsidRDefault="00F640E7" w:rsidP="00F640E7">
      <w:pPr>
        <w:widowControl w:val="0"/>
        <w:spacing w:after="0" w:line="240" w:lineRule="auto"/>
        <w:rPr>
          <w:rFonts w:ascii="Maiandra GD" w:eastAsia="Times New Roman" w:hAnsi="Maiandra GD" w:cs="Arial"/>
          <w:color w:val="000080"/>
          <w:lang w:eastAsia="it-IT"/>
        </w:rPr>
      </w:pPr>
    </w:p>
    <w:p w:rsidR="00F640E7" w:rsidRPr="00F640E7" w:rsidRDefault="00F640E7" w:rsidP="00F640E7">
      <w:pPr>
        <w:spacing w:after="0" w:line="240" w:lineRule="auto"/>
        <w:ind w:left="220" w:right="428" w:hanging="200"/>
        <w:jc w:val="both"/>
        <w:rPr>
          <w:rFonts w:ascii="Maiandra GD" w:eastAsia="Times New Roman" w:hAnsi="Maiandra GD" w:cs="Arial"/>
          <w:color w:val="000080"/>
          <w:lang w:eastAsia="it-IT"/>
        </w:rPr>
      </w:pPr>
    </w:p>
    <w:p w:rsidR="00F640E7" w:rsidRPr="00F640E7" w:rsidRDefault="00F640E7" w:rsidP="00F640E7">
      <w:pPr>
        <w:spacing w:after="0" w:line="240" w:lineRule="auto"/>
        <w:ind w:left="220" w:right="428" w:hanging="200"/>
        <w:jc w:val="both"/>
        <w:rPr>
          <w:rFonts w:ascii="Maiandra GD" w:eastAsia="Times New Roman" w:hAnsi="Maiandra GD" w:cs="Arial"/>
          <w:color w:val="000080"/>
          <w:lang w:eastAsia="it-IT"/>
        </w:rPr>
      </w:pPr>
      <w:r w:rsidRPr="00F640E7">
        <w:rPr>
          <w:rFonts w:ascii="Maiandra GD" w:eastAsia="Times New Roman" w:hAnsi="Maiandra GD" w:cs="Arial"/>
          <w:color w:val="000080"/>
          <w:lang w:eastAsia="it-IT"/>
        </w:rPr>
        <w:t xml:space="preserve">Riferimenti del Docente e Ricevimento studenti:  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854"/>
      </w:tblGrid>
      <w:tr w:rsidR="00F640E7" w:rsidRPr="00F640E7" w:rsidTr="001A353C">
        <w:tc>
          <w:tcPr>
            <w:tcW w:w="10112" w:type="dxa"/>
          </w:tcPr>
          <w:p w:rsidR="00F640E7" w:rsidRPr="00F640E7" w:rsidRDefault="00F640E7" w:rsidP="00F640E7">
            <w:pPr>
              <w:widowControl w:val="0"/>
              <w:spacing w:after="0" w:line="240" w:lineRule="auto"/>
              <w:jc w:val="both"/>
              <w:rPr>
                <w:rFonts w:ascii="Maiandra GD" w:eastAsia="Times New Roman" w:hAnsi="Maiandra GD" w:cs="Arial"/>
                <w:color w:val="000080"/>
                <w:lang w:eastAsia="it-IT"/>
              </w:rPr>
            </w:pPr>
          </w:p>
          <w:p w:rsidR="00F640E7" w:rsidRPr="00F640E7" w:rsidRDefault="00F640E7" w:rsidP="00F640E7">
            <w:pPr>
              <w:widowControl w:val="0"/>
              <w:spacing w:after="0" w:line="240" w:lineRule="auto"/>
              <w:jc w:val="both"/>
              <w:rPr>
                <w:rFonts w:ascii="Maiandra GD" w:eastAsia="Times New Roman" w:hAnsi="Maiandra GD" w:cs="Arial"/>
                <w:lang w:eastAsia="it-IT"/>
              </w:rPr>
            </w:pPr>
            <w:r w:rsidRPr="00F640E7">
              <w:rPr>
                <w:rFonts w:ascii="Maiandra GD" w:eastAsia="Times New Roman" w:hAnsi="Maiandra GD" w:cs="Arial"/>
                <w:lang w:eastAsia="it-IT"/>
              </w:rPr>
              <w:t>Tel: 045 8027281; Fax: 045 8027170; e-mail: massimo.donadelli@univr.it</w:t>
            </w:r>
          </w:p>
          <w:p w:rsidR="00F640E7" w:rsidRPr="00F640E7" w:rsidRDefault="00F640E7" w:rsidP="00F640E7">
            <w:pPr>
              <w:widowControl w:val="0"/>
              <w:spacing w:after="0" w:line="240" w:lineRule="auto"/>
              <w:jc w:val="both"/>
              <w:rPr>
                <w:rFonts w:ascii="Maiandra GD" w:eastAsia="Times New Roman" w:hAnsi="Maiandra GD" w:cs="Arial"/>
                <w:lang w:eastAsia="it-IT"/>
              </w:rPr>
            </w:pPr>
          </w:p>
          <w:p w:rsidR="00F640E7" w:rsidRPr="00F640E7" w:rsidRDefault="00F640E7" w:rsidP="00F640E7">
            <w:pPr>
              <w:widowControl w:val="0"/>
              <w:spacing w:after="0" w:line="240" w:lineRule="auto"/>
              <w:jc w:val="both"/>
              <w:rPr>
                <w:rFonts w:ascii="Maiandra GD" w:eastAsia="Times New Roman" w:hAnsi="Maiandra GD" w:cs="Arial"/>
                <w:lang w:eastAsia="it-IT"/>
              </w:rPr>
            </w:pPr>
            <w:r w:rsidRPr="00F640E7">
              <w:rPr>
                <w:rFonts w:ascii="Maiandra GD" w:eastAsia="Times New Roman" w:hAnsi="Maiandra GD" w:cs="Arial"/>
                <w:lang w:eastAsia="it-IT"/>
              </w:rPr>
              <w:t>Giorno e orario: da definire previo appuntamento</w:t>
            </w:r>
          </w:p>
          <w:p w:rsidR="00F640E7" w:rsidRPr="00F640E7" w:rsidRDefault="00F640E7" w:rsidP="00F640E7">
            <w:pPr>
              <w:widowControl w:val="0"/>
              <w:spacing w:after="0" w:line="240" w:lineRule="auto"/>
              <w:jc w:val="both"/>
              <w:rPr>
                <w:rFonts w:ascii="Maiandra GD" w:eastAsia="Times New Roman" w:hAnsi="Maiandra GD" w:cs="Arial"/>
                <w:lang w:eastAsia="it-IT"/>
              </w:rPr>
            </w:pPr>
            <w:r w:rsidRPr="00F640E7">
              <w:rPr>
                <w:rFonts w:ascii="Maiandra GD" w:eastAsia="Times New Roman" w:hAnsi="Maiandra GD" w:cs="Arial"/>
                <w:lang w:eastAsia="it-IT"/>
              </w:rPr>
              <w:t>Luogo: Sezione di Chimica Biologica (Istituti Biologici)</w:t>
            </w:r>
          </w:p>
          <w:p w:rsidR="00F640E7" w:rsidRPr="00F640E7" w:rsidRDefault="00F640E7" w:rsidP="00F640E7">
            <w:pPr>
              <w:widowControl w:val="0"/>
              <w:spacing w:after="0" w:line="240" w:lineRule="auto"/>
              <w:jc w:val="both"/>
              <w:rPr>
                <w:rFonts w:ascii="Maiandra GD" w:eastAsia="Times New Roman" w:hAnsi="Maiandra GD" w:cs="Arial"/>
                <w:color w:val="000080"/>
                <w:lang w:eastAsia="it-IT"/>
              </w:rPr>
            </w:pPr>
          </w:p>
        </w:tc>
      </w:tr>
    </w:tbl>
    <w:p w:rsidR="00F640E7" w:rsidRPr="00F640E7" w:rsidRDefault="00F640E7" w:rsidP="00F640E7">
      <w:pPr>
        <w:widowControl w:val="0"/>
        <w:spacing w:after="0" w:line="240" w:lineRule="auto"/>
        <w:jc w:val="both"/>
        <w:rPr>
          <w:rFonts w:ascii="Maiandra GD" w:eastAsia="Times New Roman" w:hAnsi="Maiandra GD" w:cs="Arial"/>
          <w:color w:val="000080"/>
          <w:lang w:eastAsia="it-IT"/>
        </w:rPr>
      </w:pPr>
    </w:p>
    <w:p w:rsidR="00301238" w:rsidRDefault="00301238" w:rsidP="00F640E7"/>
    <w:sectPr w:rsidR="00301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63E0"/>
    <w:multiLevelType w:val="hybridMultilevel"/>
    <w:tmpl w:val="BF84AB90"/>
    <w:lvl w:ilvl="0" w:tplc="DA7C69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E7"/>
    <w:rsid w:val="00301238"/>
    <w:rsid w:val="0061517F"/>
    <w:rsid w:val="00D534FB"/>
    <w:rsid w:val="00F6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640E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640E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640E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640E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Donadelli</dc:creator>
  <cp:lastModifiedBy>Giulia Di Giovanni</cp:lastModifiedBy>
  <cp:revision>2</cp:revision>
  <dcterms:created xsi:type="dcterms:W3CDTF">2014-10-13T09:34:00Z</dcterms:created>
  <dcterms:modified xsi:type="dcterms:W3CDTF">2014-10-13T09:34:00Z</dcterms:modified>
</cp:coreProperties>
</file>